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A65" w:rsidRPr="00915C34" w:rsidRDefault="00915C34" w:rsidP="00915C34">
      <w:pPr>
        <w:jc w:val="right"/>
        <w:rPr>
          <w:rFonts w:ascii="Times New Roman" w:hAnsi="Times New Roman" w:cs="Times New Roman"/>
          <w:b/>
          <w:sz w:val="20"/>
          <w:szCs w:val="20"/>
        </w:rPr>
      </w:pPr>
      <w:r>
        <w:rPr>
          <w:rFonts w:ascii="Times New Roman" w:hAnsi="Times New Roman" w:cs="Times New Roman"/>
          <w:b/>
          <w:noProof/>
          <w:sz w:val="20"/>
          <w:szCs w:val="20"/>
        </w:rPr>
        <w:drawing>
          <wp:anchor distT="0" distB="0" distL="114300" distR="114300" simplePos="0" relativeHeight="251658240" behindDoc="0" locked="0" layoutInCell="1" allowOverlap="1" wp14:anchorId="0B98BBC0" wp14:editId="7D675C02">
            <wp:simplePos x="0" y="0"/>
            <wp:positionH relativeFrom="column">
              <wp:posOffset>20320</wp:posOffset>
            </wp:positionH>
            <wp:positionV relativeFrom="paragraph">
              <wp:posOffset>163</wp:posOffset>
            </wp:positionV>
            <wp:extent cx="1502410" cy="509270"/>
            <wp:effectExtent l="0" t="0" r="2540" b="508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IM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2410" cy="509270"/>
                    </a:xfrm>
                    <a:prstGeom prst="rect">
                      <a:avLst/>
                    </a:prstGeom>
                  </pic:spPr>
                </pic:pic>
              </a:graphicData>
            </a:graphic>
          </wp:anchor>
        </w:drawing>
      </w:r>
      <w:r>
        <w:rPr>
          <w:rFonts w:ascii="Times New Roman" w:hAnsi="Times New Roman" w:cs="Times New Roman"/>
          <w:b/>
          <w:sz w:val="20"/>
          <w:szCs w:val="20"/>
        </w:rPr>
        <w:tab/>
      </w:r>
      <w:r>
        <w:rPr>
          <w:rFonts w:ascii="Times New Roman" w:hAnsi="Times New Roman" w:cs="Times New Roman"/>
          <w:b/>
          <w:sz w:val="20"/>
          <w:szCs w:val="20"/>
        </w:rPr>
        <w:tab/>
      </w:r>
      <w:hyperlink r:id="rId9" w:history="1">
        <w:r w:rsidR="00884A43" w:rsidRPr="00884A43">
          <w:rPr>
            <w:rStyle w:val="Hyperlink"/>
            <w:rFonts w:ascii="Times New Roman" w:hAnsi="Times New Roman" w:cs="Times New Roman"/>
            <w:color w:val="FF0000"/>
            <w:u w:val="none"/>
          </w:rPr>
          <w:t>www.nim.mn</w:t>
        </w:r>
      </w:hyperlink>
    </w:p>
    <w:p w:rsidR="00884A43" w:rsidRDefault="00884A43" w:rsidP="00884A43">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Newsletter</w:t>
      </w:r>
    </w:p>
    <w:p w:rsidR="007A6C14" w:rsidRPr="00884A43" w:rsidRDefault="00884A43" w:rsidP="007A6C14">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April, 2020</w:t>
      </w:r>
    </w:p>
    <w:p w:rsidR="007A6C14" w:rsidRPr="008A4F4A" w:rsidRDefault="007A6C14" w:rsidP="0019116E">
      <w:pPr>
        <w:jc w:val="center"/>
        <w:rPr>
          <w:rFonts w:ascii="Times New Roman" w:hAnsi="Times New Roman" w:cs="Times New Roman"/>
          <w:b/>
          <w:color w:val="767171" w:themeColor="background2" w:themeShade="80"/>
          <w:sz w:val="20"/>
          <w:szCs w:val="20"/>
        </w:rPr>
      </w:pPr>
    </w:p>
    <w:p w:rsidR="00DC1A65" w:rsidRDefault="008A4F4A" w:rsidP="00E118CC">
      <w:pPr>
        <w:tabs>
          <w:tab w:val="left" w:pos="2480"/>
          <w:tab w:val="left" w:pos="4440"/>
          <w:tab w:val="left" w:pos="6960"/>
          <w:tab w:val="left" w:pos="8880"/>
        </w:tabs>
        <w:spacing w:line="0" w:lineRule="atLeast"/>
        <w:ind w:left="840"/>
        <w:rPr>
          <w:rFonts w:ascii="Bodoni MT" w:eastAsia="Bodoni MT" w:hAnsi="Bodoni MT"/>
          <w:color w:val="757575"/>
        </w:rPr>
      </w:pPr>
      <w:hyperlink r:id="rId10" w:history="1">
        <w:r w:rsidR="007A6C14" w:rsidRPr="008A4F4A">
          <w:rPr>
            <w:rStyle w:val="Hyperlink"/>
            <w:rFonts w:ascii="Bodoni MT" w:eastAsia="Bodoni MT" w:hAnsi="Bodoni MT"/>
            <w:color w:val="767171" w:themeColor="background2" w:themeShade="80"/>
            <w:u w:val="none"/>
          </w:rPr>
          <w:t>HOME</w:t>
        </w:r>
      </w:hyperlink>
      <w:r w:rsidR="007A6C14">
        <w:rPr>
          <w:rFonts w:ascii="Times New Roman" w:eastAsia="Times New Roman" w:hAnsi="Times New Roman"/>
        </w:rPr>
        <w:tab/>
      </w:r>
      <w:hyperlink r:id="rId11" w:history="1">
        <w:r w:rsidR="007A6C14">
          <w:rPr>
            <w:rFonts w:ascii="Bodoni MT" w:eastAsia="Bodoni MT" w:hAnsi="Bodoni MT"/>
            <w:color w:val="757575"/>
          </w:rPr>
          <w:t>ABOUT US</w:t>
        </w:r>
      </w:hyperlink>
      <w:r w:rsidR="007A6C14">
        <w:rPr>
          <w:rFonts w:ascii="Bodoni MT" w:eastAsia="Bodoni MT" w:hAnsi="Bodoni MT"/>
          <w:color w:val="757575"/>
        </w:rPr>
        <w:tab/>
      </w:r>
      <w:hyperlink r:id="rId12" w:history="1">
        <w:r w:rsidR="007A6C14">
          <w:rPr>
            <w:rFonts w:ascii="Bodoni MT" w:eastAsia="Bodoni MT" w:hAnsi="Bodoni MT"/>
            <w:color w:val="757575"/>
          </w:rPr>
          <w:t>OUR SERVICES</w:t>
        </w:r>
      </w:hyperlink>
      <w:r w:rsidR="007A6C14">
        <w:rPr>
          <w:rFonts w:ascii="Bodoni MT" w:eastAsia="Bodoni MT" w:hAnsi="Bodoni MT"/>
          <w:color w:val="757575"/>
        </w:rPr>
        <w:tab/>
      </w:r>
      <w:hyperlink r:id="rId13" w:history="1">
        <w:r w:rsidR="007A6C14" w:rsidRPr="008A4F4A">
          <w:rPr>
            <w:rStyle w:val="Hyperlink"/>
            <w:rFonts w:ascii="Bodoni MT" w:eastAsia="Bodoni MT" w:hAnsi="Bodoni MT"/>
            <w:color w:val="767171" w:themeColor="background2" w:themeShade="80"/>
            <w:u w:val="none"/>
          </w:rPr>
          <w:t>RESEARCH</w:t>
        </w:r>
      </w:hyperlink>
      <w:r w:rsidR="007A6C14">
        <w:rPr>
          <w:rFonts w:ascii="Bodoni MT" w:eastAsia="Bodoni MT" w:hAnsi="Bodoni MT"/>
          <w:color w:val="757575"/>
        </w:rPr>
        <w:tab/>
      </w:r>
      <w:hyperlink r:id="rId14" w:history="1">
        <w:r w:rsidR="007A6C14">
          <w:rPr>
            <w:rFonts w:ascii="Bodoni MT" w:eastAsia="Bodoni MT" w:hAnsi="Bodoni MT"/>
            <w:color w:val="757575"/>
          </w:rPr>
          <w:t>REGISTER</w:t>
        </w:r>
      </w:hyperlink>
    </w:p>
    <w:p w:rsidR="00E118CC" w:rsidRPr="00E118CC" w:rsidRDefault="00E118CC" w:rsidP="00E118CC">
      <w:pPr>
        <w:tabs>
          <w:tab w:val="left" w:pos="2480"/>
          <w:tab w:val="left" w:pos="4440"/>
          <w:tab w:val="left" w:pos="6960"/>
          <w:tab w:val="left" w:pos="8880"/>
        </w:tabs>
        <w:spacing w:line="0" w:lineRule="atLeast"/>
        <w:ind w:left="840"/>
        <w:rPr>
          <w:rFonts w:ascii="Bodoni MT" w:eastAsia="Bodoni MT" w:hAnsi="Bodoni MT"/>
          <w:color w:val="757575"/>
        </w:rPr>
      </w:pPr>
    </w:p>
    <w:p w:rsidR="00E47FB1" w:rsidRPr="005526E2" w:rsidRDefault="00EF6BA5" w:rsidP="00E118CC">
      <w:pPr>
        <w:rPr>
          <w:rFonts w:asciiTheme="majorHAnsi" w:hAnsiTheme="majorHAnsi" w:cstheme="majorHAnsi"/>
          <w:b/>
          <w:color w:val="4A0419"/>
          <w:sz w:val="31"/>
          <w:szCs w:val="31"/>
        </w:rPr>
      </w:pPr>
      <w:r w:rsidRPr="00F470CF">
        <w:rPr>
          <w:rFonts w:asciiTheme="majorHAnsi" w:hAnsiTheme="majorHAnsi" w:cstheme="majorHAnsi"/>
          <w:b/>
          <w:noProof/>
          <w:color w:val="4A0419"/>
          <w:sz w:val="31"/>
          <w:szCs w:val="31"/>
        </w:rPr>
        <mc:AlternateContent>
          <mc:Choice Requires="wps">
            <w:drawing>
              <wp:anchor distT="45720" distB="45720" distL="114300" distR="114300" simplePos="0" relativeHeight="251662336" behindDoc="0" locked="0" layoutInCell="1" allowOverlap="1" wp14:anchorId="3DFCFAD5" wp14:editId="2D2F90ED">
                <wp:simplePos x="0" y="0"/>
                <wp:positionH relativeFrom="column">
                  <wp:posOffset>4826635</wp:posOffset>
                </wp:positionH>
                <wp:positionV relativeFrom="paragraph">
                  <wp:posOffset>212090</wp:posOffset>
                </wp:positionV>
                <wp:extent cx="2339340" cy="652970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6529705"/>
                        </a:xfrm>
                        <a:prstGeom prst="rect">
                          <a:avLst/>
                        </a:prstGeom>
                        <a:noFill/>
                        <a:ln w="9525">
                          <a:noFill/>
                          <a:miter lim="800000"/>
                          <a:headEnd/>
                          <a:tailEnd/>
                        </a:ln>
                      </wps:spPr>
                      <wps:txbx>
                        <w:txbxContent>
                          <w:p w:rsidR="00EF6BA5" w:rsidRPr="00EF6BA5" w:rsidRDefault="00EF6BA5">
                            <w:pPr>
                              <w:rPr>
                                <w:rFonts w:asciiTheme="majorHAnsi" w:hAnsiTheme="majorHAnsi" w:cstheme="majorHAnsi"/>
                                <w:b/>
                                <w:color w:val="FFFFFF" w:themeColor="background1"/>
                                <w:sz w:val="20"/>
                                <w:szCs w:val="20"/>
                              </w:rPr>
                            </w:pPr>
                            <w:r w:rsidRPr="00EF6BA5">
                              <w:rPr>
                                <w:rFonts w:asciiTheme="majorHAnsi" w:hAnsiTheme="majorHAnsi" w:cstheme="majorHAnsi"/>
                                <w:b/>
                                <w:color w:val="FFFFFF" w:themeColor="background1"/>
                                <w:sz w:val="20"/>
                                <w:szCs w:val="20"/>
                              </w:rPr>
                              <w:t>INSIDE THIS ISSUE:</w:t>
                            </w:r>
                          </w:p>
                          <w:p w:rsidR="00EF6BA5" w:rsidRPr="00EF6BA5" w:rsidRDefault="00EF6BA5" w:rsidP="005052E7">
                            <w:pPr>
                              <w:spacing w:after="0"/>
                              <w:rPr>
                                <w:rFonts w:asciiTheme="majorHAnsi" w:hAnsiTheme="majorHAnsi" w:cstheme="majorHAnsi"/>
                                <w:b/>
                                <w:color w:val="000000" w:themeColor="text1"/>
                                <w:sz w:val="20"/>
                                <w:szCs w:val="20"/>
                              </w:rPr>
                            </w:pPr>
                            <w:r w:rsidRPr="00EF6BA5">
                              <w:rPr>
                                <w:rFonts w:asciiTheme="majorHAnsi" w:hAnsiTheme="majorHAnsi" w:cstheme="majorHAnsi"/>
                                <w:b/>
                                <w:color w:val="000000" w:themeColor="text1"/>
                                <w:sz w:val="20"/>
                                <w:szCs w:val="20"/>
                              </w:rPr>
                              <w:t>MONGOLIA ECONOMIC REVIEW 2019</w:t>
                            </w:r>
                          </w:p>
                          <w:p w:rsidR="00EF6BA5" w:rsidRPr="005052E7" w:rsidRDefault="00EF6BA5" w:rsidP="005052E7">
                            <w:pPr>
                              <w:pStyle w:val="ListParagraph"/>
                              <w:numPr>
                                <w:ilvl w:val="0"/>
                                <w:numId w:val="3"/>
                              </w:numPr>
                              <w:spacing w:after="0"/>
                              <w:ind w:left="450"/>
                              <w:rPr>
                                <w:rFonts w:asciiTheme="majorHAnsi" w:hAnsiTheme="majorHAnsi" w:cstheme="majorHAnsi"/>
                                <w:color w:val="000000" w:themeColor="text1"/>
                                <w:sz w:val="20"/>
                                <w:szCs w:val="20"/>
                              </w:rPr>
                            </w:pPr>
                            <w:r w:rsidRPr="005052E7">
                              <w:rPr>
                                <w:rFonts w:asciiTheme="majorHAnsi" w:hAnsiTheme="majorHAnsi" w:cstheme="majorHAnsi"/>
                                <w:color w:val="000000" w:themeColor="text1"/>
                                <w:sz w:val="20"/>
                                <w:szCs w:val="20"/>
                              </w:rPr>
                              <w:t>Economy grows by 5.1% in 2019</w:t>
                            </w:r>
                          </w:p>
                          <w:p w:rsidR="00EF6BA5" w:rsidRPr="005052E7" w:rsidRDefault="00EF6BA5" w:rsidP="005052E7">
                            <w:pPr>
                              <w:pStyle w:val="ListParagraph"/>
                              <w:numPr>
                                <w:ilvl w:val="0"/>
                                <w:numId w:val="3"/>
                              </w:numPr>
                              <w:spacing w:after="0"/>
                              <w:ind w:left="450"/>
                              <w:rPr>
                                <w:rFonts w:asciiTheme="majorHAnsi" w:hAnsiTheme="majorHAnsi" w:cstheme="majorHAnsi"/>
                                <w:color w:val="000000" w:themeColor="text1"/>
                                <w:sz w:val="20"/>
                                <w:szCs w:val="20"/>
                              </w:rPr>
                            </w:pPr>
                            <w:r w:rsidRPr="005052E7">
                              <w:rPr>
                                <w:rFonts w:asciiTheme="majorHAnsi" w:hAnsiTheme="majorHAnsi" w:cstheme="majorHAnsi"/>
                                <w:color w:val="000000" w:themeColor="text1"/>
                                <w:sz w:val="20"/>
                                <w:szCs w:val="20"/>
                              </w:rPr>
                              <w:t xml:space="preserve">Unemployment </w:t>
                            </w:r>
                          </w:p>
                          <w:p w:rsidR="00EF6BA5" w:rsidRPr="005052E7" w:rsidRDefault="00EF6BA5" w:rsidP="005052E7">
                            <w:pPr>
                              <w:pStyle w:val="ListParagraph"/>
                              <w:numPr>
                                <w:ilvl w:val="0"/>
                                <w:numId w:val="3"/>
                              </w:numPr>
                              <w:spacing w:after="0"/>
                              <w:ind w:left="450"/>
                              <w:rPr>
                                <w:rFonts w:asciiTheme="majorHAnsi" w:hAnsiTheme="majorHAnsi" w:cstheme="majorHAnsi"/>
                                <w:color w:val="000000" w:themeColor="text1"/>
                                <w:sz w:val="20"/>
                                <w:szCs w:val="20"/>
                              </w:rPr>
                            </w:pPr>
                            <w:r w:rsidRPr="005052E7">
                              <w:rPr>
                                <w:rFonts w:asciiTheme="majorHAnsi" w:hAnsiTheme="majorHAnsi" w:cstheme="majorHAnsi"/>
                                <w:color w:val="000000" w:themeColor="text1"/>
                                <w:sz w:val="20"/>
                                <w:szCs w:val="20"/>
                              </w:rPr>
                              <w:t xml:space="preserve">Inflation </w:t>
                            </w:r>
                          </w:p>
                          <w:p w:rsidR="00EF6BA5" w:rsidRPr="005052E7" w:rsidRDefault="00EF6BA5" w:rsidP="005052E7">
                            <w:pPr>
                              <w:pStyle w:val="ListParagraph"/>
                              <w:numPr>
                                <w:ilvl w:val="0"/>
                                <w:numId w:val="3"/>
                              </w:numPr>
                              <w:spacing w:after="0"/>
                              <w:ind w:left="450"/>
                              <w:rPr>
                                <w:rFonts w:asciiTheme="majorHAnsi" w:hAnsiTheme="majorHAnsi" w:cstheme="majorHAnsi"/>
                                <w:color w:val="000000" w:themeColor="text1"/>
                                <w:sz w:val="20"/>
                                <w:szCs w:val="20"/>
                              </w:rPr>
                            </w:pPr>
                            <w:r w:rsidRPr="005052E7">
                              <w:rPr>
                                <w:rFonts w:asciiTheme="majorHAnsi" w:hAnsiTheme="majorHAnsi" w:cstheme="majorHAnsi"/>
                                <w:color w:val="000000" w:themeColor="text1"/>
                                <w:sz w:val="20"/>
                                <w:szCs w:val="20"/>
                              </w:rPr>
                              <w:t>MNT-US$ Exchange Rate</w:t>
                            </w:r>
                          </w:p>
                          <w:p w:rsidR="00EF6BA5" w:rsidRPr="005052E7" w:rsidRDefault="00EF6BA5" w:rsidP="005052E7">
                            <w:pPr>
                              <w:pStyle w:val="ListParagraph"/>
                              <w:numPr>
                                <w:ilvl w:val="0"/>
                                <w:numId w:val="3"/>
                              </w:numPr>
                              <w:spacing w:after="0"/>
                              <w:ind w:left="450"/>
                              <w:rPr>
                                <w:rFonts w:asciiTheme="majorHAnsi" w:hAnsiTheme="majorHAnsi" w:cstheme="majorHAnsi"/>
                                <w:color w:val="000000" w:themeColor="text1"/>
                                <w:sz w:val="20"/>
                                <w:szCs w:val="20"/>
                              </w:rPr>
                            </w:pPr>
                            <w:r w:rsidRPr="005052E7">
                              <w:rPr>
                                <w:rFonts w:asciiTheme="majorHAnsi" w:hAnsiTheme="majorHAnsi" w:cstheme="majorHAnsi"/>
                                <w:color w:val="000000" w:themeColor="text1"/>
                                <w:sz w:val="20"/>
                                <w:szCs w:val="20"/>
                              </w:rPr>
                              <w:t>External Trade</w:t>
                            </w:r>
                          </w:p>
                          <w:p w:rsidR="00EF6BA5" w:rsidRPr="005052E7" w:rsidRDefault="00EF6BA5" w:rsidP="005052E7">
                            <w:pPr>
                              <w:pStyle w:val="ListParagraph"/>
                              <w:numPr>
                                <w:ilvl w:val="0"/>
                                <w:numId w:val="3"/>
                              </w:numPr>
                              <w:spacing w:after="0"/>
                              <w:ind w:left="450"/>
                              <w:rPr>
                                <w:rFonts w:asciiTheme="majorHAnsi" w:hAnsiTheme="majorHAnsi" w:cstheme="majorHAnsi"/>
                                <w:color w:val="000000" w:themeColor="text1"/>
                                <w:sz w:val="20"/>
                                <w:szCs w:val="20"/>
                              </w:rPr>
                            </w:pPr>
                            <w:r w:rsidRPr="005052E7">
                              <w:rPr>
                                <w:rFonts w:asciiTheme="majorHAnsi" w:hAnsiTheme="majorHAnsi" w:cstheme="majorHAnsi"/>
                                <w:color w:val="000000" w:themeColor="text1"/>
                                <w:sz w:val="20"/>
                                <w:szCs w:val="20"/>
                              </w:rPr>
                              <w:t>Banking Sector</w:t>
                            </w:r>
                          </w:p>
                          <w:p w:rsidR="00460DC0" w:rsidRDefault="00460DC0">
                            <w:pPr>
                              <w:rPr>
                                <w:sz w:val="20"/>
                                <w:szCs w:val="20"/>
                              </w:rPr>
                            </w:pPr>
                          </w:p>
                          <w:p w:rsidR="00460DC0" w:rsidRDefault="00460DC0">
                            <w:pPr>
                              <w:rPr>
                                <w:sz w:val="20"/>
                                <w:szCs w:val="20"/>
                              </w:rPr>
                            </w:pPr>
                            <w:bookmarkStart w:id="0" w:name="_GoBack"/>
                            <w:bookmarkEnd w:id="0"/>
                          </w:p>
                          <w:p w:rsidR="005052E7" w:rsidRDefault="005052E7">
                            <w:pPr>
                              <w:rPr>
                                <w:b/>
                                <w:sz w:val="20"/>
                                <w:szCs w:val="20"/>
                              </w:rPr>
                            </w:pPr>
                            <w:r>
                              <w:rPr>
                                <w:b/>
                                <w:sz w:val="20"/>
                                <w:szCs w:val="20"/>
                              </w:rPr>
                              <w:t>MONGOLIA MAJOR EVENTS 2019</w:t>
                            </w:r>
                          </w:p>
                          <w:p w:rsidR="005052E7" w:rsidRPr="00460DC0" w:rsidRDefault="007B162F" w:rsidP="00B86F01">
                            <w:pPr>
                              <w:pStyle w:val="ListParagraph"/>
                              <w:numPr>
                                <w:ilvl w:val="0"/>
                                <w:numId w:val="4"/>
                              </w:numPr>
                              <w:spacing w:line="276" w:lineRule="auto"/>
                              <w:ind w:left="450"/>
                              <w:rPr>
                                <w:sz w:val="20"/>
                                <w:szCs w:val="20"/>
                              </w:rPr>
                            </w:pPr>
                            <w:r w:rsidRPr="00460DC0">
                              <w:rPr>
                                <w:sz w:val="20"/>
                                <w:szCs w:val="20"/>
                              </w:rPr>
                              <w:t>The First Mongolian Company to become a member in London Metal Exchange</w:t>
                            </w:r>
                          </w:p>
                          <w:p w:rsidR="007B162F" w:rsidRPr="00460DC0" w:rsidRDefault="007B162F" w:rsidP="00B86F01">
                            <w:pPr>
                              <w:pStyle w:val="ListParagraph"/>
                              <w:numPr>
                                <w:ilvl w:val="0"/>
                                <w:numId w:val="4"/>
                              </w:numPr>
                              <w:spacing w:line="276" w:lineRule="auto"/>
                              <w:ind w:left="450"/>
                              <w:rPr>
                                <w:sz w:val="20"/>
                                <w:szCs w:val="20"/>
                              </w:rPr>
                            </w:pPr>
                            <w:r w:rsidRPr="00460DC0">
                              <w:rPr>
                                <w:sz w:val="20"/>
                                <w:szCs w:val="20"/>
                              </w:rPr>
                              <w:t>Fitch rates Mongolian Mining Corporation first-time ‘B’</w:t>
                            </w:r>
                          </w:p>
                          <w:p w:rsidR="007B162F" w:rsidRPr="00460DC0" w:rsidRDefault="007B162F" w:rsidP="00B86F01">
                            <w:pPr>
                              <w:pStyle w:val="ListParagraph"/>
                              <w:numPr>
                                <w:ilvl w:val="0"/>
                                <w:numId w:val="4"/>
                              </w:numPr>
                              <w:spacing w:line="276" w:lineRule="auto"/>
                              <w:ind w:left="450"/>
                              <w:rPr>
                                <w:sz w:val="20"/>
                                <w:szCs w:val="20"/>
                              </w:rPr>
                            </w:pPr>
                            <w:r w:rsidRPr="00460DC0">
                              <w:rPr>
                                <w:sz w:val="20"/>
                                <w:szCs w:val="20"/>
                              </w:rPr>
                              <w:t>General Financing Agreement signed with EBRD</w:t>
                            </w:r>
                          </w:p>
                          <w:p w:rsidR="007B162F" w:rsidRPr="00460DC0" w:rsidRDefault="001462B0" w:rsidP="00B86F01">
                            <w:pPr>
                              <w:pStyle w:val="ListParagraph"/>
                              <w:numPr>
                                <w:ilvl w:val="0"/>
                                <w:numId w:val="4"/>
                              </w:numPr>
                              <w:spacing w:line="276" w:lineRule="auto"/>
                              <w:ind w:left="450"/>
                              <w:rPr>
                                <w:sz w:val="20"/>
                                <w:szCs w:val="20"/>
                              </w:rPr>
                            </w:pPr>
                            <w:r w:rsidRPr="00460DC0">
                              <w:rPr>
                                <w:sz w:val="20"/>
                                <w:szCs w:val="20"/>
                              </w:rPr>
                              <w:t>The Brazil-Mongolia Chamber of Commerce launched</w:t>
                            </w:r>
                          </w:p>
                          <w:p w:rsidR="001462B0" w:rsidRPr="00460DC0" w:rsidRDefault="001462B0" w:rsidP="00B86F01">
                            <w:pPr>
                              <w:pStyle w:val="ListParagraph"/>
                              <w:numPr>
                                <w:ilvl w:val="0"/>
                                <w:numId w:val="4"/>
                              </w:numPr>
                              <w:spacing w:line="276" w:lineRule="auto"/>
                              <w:ind w:left="450"/>
                              <w:rPr>
                                <w:sz w:val="20"/>
                                <w:szCs w:val="20"/>
                              </w:rPr>
                            </w:pPr>
                            <w:r w:rsidRPr="00460DC0">
                              <w:rPr>
                                <w:sz w:val="20"/>
                                <w:szCs w:val="20"/>
                              </w:rPr>
                              <w:t>Income from mining sector increases by 24 percent</w:t>
                            </w:r>
                          </w:p>
                          <w:p w:rsidR="001462B0" w:rsidRPr="00460DC0" w:rsidRDefault="001462B0" w:rsidP="00B86F01">
                            <w:pPr>
                              <w:pStyle w:val="ListParagraph"/>
                              <w:numPr>
                                <w:ilvl w:val="0"/>
                                <w:numId w:val="4"/>
                              </w:numPr>
                              <w:spacing w:line="276" w:lineRule="auto"/>
                              <w:ind w:left="450"/>
                              <w:rPr>
                                <w:sz w:val="20"/>
                                <w:szCs w:val="20"/>
                              </w:rPr>
                            </w:pPr>
                            <w:r w:rsidRPr="00460DC0">
                              <w:rPr>
                                <w:sz w:val="20"/>
                                <w:szCs w:val="20"/>
                              </w:rPr>
                              <w:t>Mongolia joins International Forum of Sovereign Wealth Funds as associate member</w:t>
                            </w:r>
                          </w:p>
                          <w:p w:rsidR="001462B0" w:rsidRPr="00460DC0" w:rsidRDefault="001462B0" w:rsidP="00B86F01">
                            <w:pPr>
                              <w:pStyle w:val="ListParagraph"/>
                              <w:numPr>
                                <w:ilvl w:val="0"/>
                                <w:numId w:val="4"/>
                              </w:numPr>
                              <w:spacing w:line="276" w:lineRule="auto"/>
                              <w:ind w:left="450"/>
                              <w:rPr>
                                <w:sz w:val="20"/>
                                <w:szCs w:val="20"/>
                              </w:rPr>
                            </w:pPr>
                            <w:r w:rsidRPr="00460DC0">
                              <w:rPr>
                                <w:sz w:val="20"/>
                                <w:szCs w:val="20"/>
                              </w:rPr>
                              <w:t>China and Mongolia sign major infrastructure deal</w:t>
                            </w:r>
                          </w:p>
                          <w:p w:rsidR="001462B0" w:rsidRPr="00460DC0" w:rsidRDefault="001462B0" w:rsidP="00B86F01">
                            <w:pPr>
                              <w:pStyle w:val="ListParagraph"/>
                              <w:numPr>
                                <w:ilvl w:val="0"/>
                                <w:numId w:val="4"/>
                              </w:numPr>
                              <w:spacing w:line="276" w:lineRule="auto"/>
                              <w:ind w:left="450"/>
                              <w:rPr>
                                <w:sz w:val="20"/>
                                <w:szCs w:val="20"/>
                              </w:rPr>
                            </w:pPr>
                            <w:r w:rsidRPr="00460DC0">
                              <w:rPr>
                                <w:sz w:val="20"/>
                                <w:szCs w:val="20"/>
                              </w:rPr>
                              <w:t>Fourth Mongolian bank to close</w:t>
                            </w:r>
                          </w:p>
                          <w:p w:rsidR="001462B0" w:rsidRPr="00460DC0" w:rsidRDefault="001462B0" w:rsidP="00B86F01">
                            <w:pPr>
                              <w:pStyle w:val="ListParagraph"/>
                              <w:numPr>
                                <w:ilvl w:val="0"/>
                                <w:numId w:val="4"/>
                              </w:numPr>
                              <w:spacing w:line="276" w:lineRule="auto"/>
                              <w:ind w:left="450"/>
                              <w:rPr>
                                <w:sz w:val="20"/>
                                <w:szCs w:val="20"/>
                              </w:rPr>
                            </w:pPr>
                            <w:r w:rsidRPr="00460DC0">
                              <w:rPr>
                                <w:sz w:val="20"/>
                                <w:szCs w:val="20"/>
                              </w:rPr>
                              <w:t>Mongolia has been added to the grey 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FCFAD5" id="_x0000_t202" coordsize="21600,21600" o:spt="202" path="m,l,21600r21600,l21600,xe">
                <v:stroke joinstyle="miter"/>
                <v:path gradientshapeok="t" o:connecttype="rect"/>
              </v:shapetype>
              <v:shape id="Text Box 2" o:spid="_x0000_s1026" type="#_x0000_t202" style="position:absolute;margin-left:380.05pt;margin-top:16.7pt;width:184.2pt;height:514.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" filled="f" stroked="f">
                <v:textbox>
                  <w:txbxContent>
                    <w:p w:rsidR="00EF6BA5" w:rsidRPr="00EF6BA5" w:rsidRDefault="00EF6BA5">
                      <w:pPr>
                        <w:rPr>
                          <w:rFonts w:asciiTheme="majorHAnsi" w:hAnsiTheme="majorHAnsi" w:cstheme="majorHAnsi"/>
                          <w:b/>
                          <w:color w:val="FFFFFF" w:themeColor="background1"/>
                          <w:sz w:val="20"/>
                          <w:szCs w:val="20"/>
                        </w:rPr>
                      </w:pPr>
                      <w:r w:rsidRPr="00EF6BA5">
                        <w:rPr>
                          <w:rFonts w:asciiTheme="majorHAnsi" w:hAnsiTheme="majorHAnsi" w:cstheme="majorHAnsi"/>
                          <w:b/>
                          <w:color w:val="FFFFFF" w:themeColor="background1"/>
                          <w:sz w:val="20"/>
                          <w:szCs w:val="20"/>
                        </w:rPr>
                        <w:t>INSIDE THIS ISSUE:</w:t>
                      </w:r>
                    </w:p>
                    <w:p w:rsidR="00EF6BA5" w:rsidRPr="00EF6BA5" w:rsidRDefault="00EF6BA5" w:rsidP="005052E7">
                      <w:pPr>
                        <w:spacing w:after="0"/>
                        <w:rPr>
                          <w:rFonts w:asciiTheme="majorHAnsi" w:hAnsiTheme="majorHAnsi" w:cstheme="majorHAnsi"/>
                          <w:b/>
                          <w:color w:val="000000" w:themeColor="text1"/>
                          <w:sz w:val="20"/>
                          <w:szCs w:val="20"/>
                        </w:rPr>
                      </w:pPr>
                      <w:r w:rsidRPr="00EF6BA5">
                        <w:rPr>
                          <w:rFonts w:asciiTheme="majorHAnsi" w:hAnsiTheme="majorHAnsi" w:cstheme="majorHAnsi"/>
                          <w:b/>
                          <w:color w:val="000000" w:themeColor="text1"/>
                          <w:sz w:val="20"/>
                          <w:szCs w:val="20"/>
                        </w:rPr>
                        <w:t>MONGOLIA ECONOMIC REVIEW 2019</w:t>
                      </w:r>
                    </w:p>
                    <w:p w:rsidR="00EF6BA5" w:rsidRPr="005052E7" w:rsidRDefault="00EF6BA5" w:rsidP="005052E7">
                      <w:pPr>
                        <w:pStyle w:val="ListParagraph"/>
                        <w:numPr>
                          <w:ilvl w:val="0"/>
                          <w:numId w:val="3"/>
                        </w:numPr>
                        <w:spacing w:after="0"/>
                        <w:ind w:left="450"/>
                        <w:rPr>
                          <w:rFonts w:asciiTheme="majorHAnsi" w:hAnsiTheme="majorHAnsi" w:cstheme="majorHAnsi"/>
                          <w:color w:val="000000" w:themeColor="text1"/>
                          <w:sz w:val="20"/>
                          <w:szCs w:val="20"/>
                        </w:rPr>
                      </w:pPr>
                      <w:r w:rsidRPr="005052E7">
                        <w:rPr>
                          <w:rFonts w:asciiTheme="majorHAnsi" w:hAnsiTheme="majorHAnsi" w:cstheme="majorHAnsi"/>
                          <w:color w:val="000000" w:themeColor="text1"/>
                          <w:sz w:val="20"/>
                          <w:szCs w:val="20"/>
                        </w:rPr>
                        <w:t>Economy grows by 5.1% in 2019</w:t>
                      </w:r>
                    </w:p>
                    <w:p w:rsidR="00EF6BA5" w:rsidRPr="005052E7" w:rsidRDefault="00EF6BA5" w:rsidP="005052E7">
                      <w:pPr>
                        <w:pStyle w:val="ListParagraph"/>
                        <w:numPr>
                          <w:ilvl w:val="0"/>
                          <w:numId w:val="3"/>
                        </w:numPr>
                        <w:spacing w:after="0"/>
                        <w:ind w:left="450"/>
                        <w:rPr>
                          <w:rFonts w:asciiTheme="majorHAnsi" w:hAnsiTheme="majorHAnsi" w:cstheme="majorHAnsi"/>
                          <w:color w:val="000000" w:themeColor="text1"/>
                          <w:sz w:val="20"/>
                          <w:szCs w:val="20"/>
                        </w:rPr>
                      </w:pPr>
                      <w:r w:rsidRPr="005052E7">
                        <w:rPr>
                          <w:rFonts w:asciiTheme="majorHAnsi" w:hAnsiTheme="majorHAnsi" w:cstheme="majorHAnsi"/>
                          <w:color w:val="000000" w:themeColor="text1"/>
                          <w:sz w:val="20"/>
                          <w:szCs w:val="20"/>
                        </w:rPr>
                        <w:t xml:space="preserve">Unemployment </w:t>
                      </w:r>
                    </w:p>
                    <w:p w:rsidR="00EF6BA5" w:rsidRPr="005052E7" w:rsidRDefault="00EF6BA5" w:rsidP="005052E7">
                      <w:pPr>
                        <w:pStyle w:val="ListParagraph"/>
                        <w:numPr>
                          <w:ilvl w:val="0"/>
                          <w:numId w:val="3"/>
                        </w:numPr>
                        <w:spacing w:after="0"/>
                        <w:ind w:left="450"/>
                        <w:rPr>
                          <w:rFonts w:asciiTheme="majorHAnsi" w:hAnsiTheme="majorHAnsi" w:cstheme="majorHAnsi"/>
                          <w:color w:val="000000" w:themeColor="text1"/>
                          <w:sz w:val="20"/>
                          <w:szCs w:val="20"/>
                        </w:rPr>
                      </w:pPr>
                      <w:r w:rsidRPr="005052E7">
                        <w:rPr>
                          <w:rFonts w:asciiTheme="majorHAnsi" w:hAnsiTheme="majorHAnsi" w:cstheme="majorHAnsi"/>
                          <w:color w:val="000000" w:themeColor="text1"/>
                          <w:sz w:val="20"/>
                          <w:szCs w:val="20"/>
                        </w:rPr>
                        <w:t xml:space="preserve">Inflation </w:t>
                      </w:r>
                    </w:p>
                    <w:p w:rsidR="00EF6BA5" w:rsidRPr="005052E7" w:rsidRDefault="00EF6BA5" w:rsidP="005052E7">
                      <w:pPr>
                        <w:pStyle w:val="ListParagraph"/>
                        <w:numPr>
                          <w:ilvl w:val="0"/>
                          <w:numId w:val="3"/>
                        </w:numPr>
                        <w:spacing w:after="0"/>
                        <w:ind w:left="450"/>
                        <w:rPr>
                          <w:rFonts w:asciiTheme="majorHAnsi" w:hAnsiTheme="majorHAnsi" w:cstheme="majorHAnsi"/>
                          <w:color w:val="000000" w:themeColor="text1"/>
                          <w:sz w:val="20"/>
                          <w:szCs w:val="20"/>
                        </w:rPr>
                      </w:pPr>
                      <w:r w:rsidRPr="005052E7">
                        <w:rPr>
                          <w:rFonts w:asciiTheme="majorHAnsi" w:hAnsiTheme="majorHAnsi" w:cstheme="majorHAnsi"/>
                          <w:color w:val="000000" w:themeColor="text1"/>
                          <w:sz w:val="20"/>
                          <w:szCs w:val="20"/>
                        </w:rPr>
                        <w:t>MNT-US$ Exchange Rate</w:t>
                      </w:r>
                    </w:p>
                    <w:p w:rsidR="00EF6BA5" w:rsidRPr="005052E7" w:rsidRDefault="00EF6BA5" w:rsidP="005052E7">
                      <w:pPr>
                        <w:pStyle w:val="ListParagraph"/>
                        <w:numPr>
                          <w:ilvl w:val="0"/>
                          <w:numId w:val="3"/>
                        </w:numPr>
                        <w:spacing w:after="0"/>
                        <w:ind w:left="450"/>
                        <w:rPr>
                          <w:rFonts w:asciiTheme="majorHAnsi" w:hAnsiTheme="majorHAnsi" w:cstheme="majorHAnsi"/>
                          <w:color w:val="000000" w:themeColor="text1"/>
                          <w:sz w:val="20"/>
                          <w:szCs w:val="20"/>
                        </w:rPr>
                      </w:pPr>
                      <w:r w:rsidRPr="005052E7">
                        <w:rPr>
                          <w:rFonts w:asciiTheme="majorHAnsi" w:hAnsiTheme="majorHAnsi" w:cstheme="majorHAnsi"/>
                          <w:color w:val="000000" w:themeColor="text1"/>
                          <w:sz w:val="20"/>
                          <w:szCs w:val="20"/>
                        </w:rPr>
                        <w:t>External Trade</w:t>
                      </w:r>
                    </w:p>
                    <w:p w:rsidR="00EF6BA5" w:rsidRPr="005052E7" w:rsidRDefault="00EF6BA5" w:rsidP="005052E7">
                      <w:pPr>
                        <w:pStyle w:val="ListParagraph"/>
                        <w:numPr>
                          <w:ilvl w:val="0"/>
                          <w:numId w:val="3"/>
                        </w:numPr>
                        <w:spacing w:after="0"/>
                        <w:ind w:left="450"/>
                        <w:rPr>
                          <w:rFonts w:asciiTheme="majorHAnsi" w:hAnsiTheme="majorHAnsi" w:cstheme="majorHAnsi"/>
                          <w:color w:val="000000" w:themeColor="text1"/>
                          <w:sz w:val="20"/>
                          <w:szCs w:val="20"/>
                        </w:rPr>
                      </w:pPr>
                      <w:r w:rsidRPr="005052E7">
                        <w:rPr>
                          <w:rFonts w:asciiTheme="majorHAnsi" w:hAnsiTheme="majorHAnsi" w:cstheme="majorHAnsi"/>
                          <w:color w:val="000000" w:themeColor="text1"/>
                          <w:sz w:val="20"/>
                          <w:szCs w:val="20"/>
                        </w:rPr>
                        <w:t>Banking Sector</w:t>
                      </w:r>
                    </w:p>
                    <w:p w:rsidR="00460DC0" w:rsidRDefault="00460DC0">
                      <w:pPr>
                        <w:rPr>
                          <w:sz w:val="20"/>
                          <w:szCs w:val="20"/>
                        </w:rPr>
                      </w:pPr>
                    </w:p>
                    <w:p w:rsidR="00460DC0" w:rsidRDefault="00460DC0">
                      <w:pPr>
                        <w:rPr>
                          <w:sz w:val="20"/>
                          <w:szCs w:val="20"/>
                        </w:rPr>
                      </w:pPr>
                      <w:bookmarkStart w:id="1" w:name="_GoBack"/>
                      <w:bookmarkEnd w:id="1"/>
                    </w:p>
                    <w:p w:rsidR="005052E7" w:rsidRDefault="005052E7">
                      <w:pPr>
                        <w:rPr>
                          <w:b/>
                          <w:sz w:val="20"/>
                          <w:szCs w:val="20"/>
                        </w:rPr>
                      </w:pPr>
                      <w:r>
                        <w:rPr>
                          <w:b/>
                          <w:sz w:val="20"/>
                          <w:szCs w:val="20"/>
                        </w:rPr>
                        <w:t>MONGOLIA MAJOR EVENTS 2019</w:t>
                      </w:r>
                    </w:p>
                    <w:p w:rsidR="005052E7" w:rsidRPr="00460DC0" w:rsidRDefault="007B162F" w:rsidP="00B86F01">
                      <w:pPr>
                        <w:pStyle w:val="ListParagraph"/>
                        <w:numPr>
                          <w:ilvl w:val="0"/>
                          <w:numId w:val="4"/>
                        </w:numPr>
                        <w:spacing w:line="276" w:lineRule="auto"/>
                        <w:ind w:left="450"/>
                        <w:rPr>
                          <w:sz w:val="20"/>
                          <w:szCs w:val="20"/>
                        </w:rPr>
                      </w:pPr>
                      <w:r w:rsidRPr="00460DC0">
                        <w:rPr>
                          <w:sz w:val="20"/>
                          <w:szCs w:val="20"/>
                        </w:rPr>
                        <w:t>The First Mongolian Company to become a member in London Metal Exchange</w:t>
                      </w:r>
                    </w:p>
                    <w:p w:rsidR="007B162F" w:rsidRPr="00460DC0" w:rsidRDefault="007B162F" w:rsidP="00B86F01">
                      <w:pPr>
                        <w:pStyle w:val="ListParagraph"/>
                        <w:numPr>
                          <w:ilvl w:val="0"/>
                          <w:numId w:val="4"/>
                        </w:numPr>
                        <w:spacing w:line="276" w:lineRule="auto"/>
                        <w:ind w:left="450"/>
                        <w:rPr>
                          <w:sz w:val="20"/>
                          <w:szCs w:val="20"/>
                        </w:rPr>
                      </w:pPr>
                      <w:r w:rsidRPr="00460DC0">
                        <w:rPr>
                          <w:sz w:val="20"/>
                          <w:szCs w:val="20"/>
                        </w:rPr>
                        <w:t>Fitch rates Mongolian Mining Corporation first-time ‘B’</w:t>
                      </w:r>
                    </w:p>
                    <w:p w:rsidR="007B162F" w:rsidRPr="00460DC0" w:rsidRDefault="007B162F" w:rsidP="00B86F01">
                      <w:pPr>
                        <w:pStyle w:val="ListParagraph"/>
                        <w:numPr>
                          <w:ilvl w:val="0"/>
                          <w:numId w:val="4"/>
                        </w:numPr>
                        <w:spacing w:line="276" w:lineRule="auto"/>
                        <w:ind w:left="450"/>
                        <w:rPr>
                          <w:sz w:val="20"/>
                          <w:szCs w:val="20"/>
                        </w:rPr>
                      </w:pPr>
                      <w:r w:rsidRPr="00460DC0">
                        <w:rPr>
                          <w:sz w:val="20"/>
                          <w:szCs w:val="20"/>
                        </w:rPr>
                        <w:t>General Financing Agreement signed with EBRD</w:t>
                      </w:r>
                    </w:p>
                    <w:p w:rsidR="007B162F" w:rsidRPr="00460DC0" w:rsidRDefault="001462B0" w:rsidP="00B86F01">
                      <w:pPr>
                        <w:pStyle w:val="ListParagraph"/>
                        <w:numPr>
                          <w:ilvl w:val="0"/>
                          <w:numId w:val="4"/>
                        </w:numPr>
                        <w:spacing w:line="276" w:lineRule="auto"/>
                        <w:ind w:left="450"/>
                        <w:rPr>
                          <w:sz w:val="20"/>
                          <w:szCs w:val="20"/>
                        </w:rPr>
                      </w:pPr>
                      <w:r w:rsidRPr="00460DC0">
                        <w:rPr>
                          <w:sz w:val="20"/>
                          <w:szCs w:val="20"/>
                        </w:rPr>
                        <w:t>The Brazil-Mongolia Chamber of Commerce launched</w:t>
                      </w:r>
                    </w:p>
                    <w:p w:rsidR="001462B0" w:rsidRPr="00460DC0" w:rsidRDefault="001462B0" w:rsidP="00B86F01">
                      <w:pPr>
                        <w:pStyle w:val="ListParagraph"/>
                        <w:numPr>
                          <w:ilvl w:val="0"/>
                          <w:numId w:val="4"/>
                        </w:numPr>
                        <w:spacing w:line="276" w:lineRule="auto"/>
                        <w:ind w:left="450"/>
                        <w:rPr>
                          <w:sz w:val="20"/>
                          <w:szCs w:val="20"/>
                        </w:rPr>
                      </w:pPr>
                      <w:r w:rsidRPr="00460DC0">
                        <w:rPr>
                          <w:sz w:val="20"/>
                          <w:szCs w:val="20"/>
                        </w:rPr>
                        <w:t>Income from mining sector increases by 24 percent</w:t>
                      </w:r>
                    </w:p>
                    <w:p w:rsidR="001462B0" w:rsidRPr="00460DC0" w:rsidRDefault="001462B0" w:rsidP="00B86F01">
                      <w:pPr>
                        <w:pStyle w:val="ListParagraph"/>
                        <w:numPr>
                          <w:ilvl w:val="0"/>
                          <w:numId w:val="4"/>
                        </w:numPr>
                        <w:spacing w:line="276" w:lineRule="auto"/>
                        <w:ind w:left="450"/>
                        <w:rPr>
                          <w:sz w:val="20"/>
                          <w:szCs w:val="20"/>
                        </w:rPr>
                      </w:pPr>
                      <w:r w:rsidRPr="00460DC0">
                        <w:rPr>
                          <w:sz w:val="20"/>
                          <w:szCs w:val="20"/>
                        </w:rPr>
                        <w:t>Mongolia joins International Forum of Sovereign Wealth Funds as associate member</w:t>
                      </w:r>
                    </w:p>
                    <w:p w:rsidR="001462B0" w:rsidRPr="00460DC0" w:rsidRDefault="001462B0" w:rsidP="00B86F01">
                      <w:pPr>
                        <w:pStyle w:val="ListParagraph"/>
                        <w:numPr>
                          <w:ilvl w:val="0"/>
                          <w:numId w:val="4"/>
                        </w:numPr>
                        <w:spacing w:line="276" w:lineRule="auto"/>
                        <w:ind w:left="450"/>
                        <w:rPr>
                          <w:sz w:val="20"/>
                          <w:szCs w:val="20"/>
                        </w:rPr>
                      </w:pPr>
                      <w:r w:rsidRPr="00460DC0">
                        <w:rPr>
                          <w:sz w:val="20"/>
                          <w:szCs w:val="20"/>
                        </w:rPr>
                        <w:t>China and Mongolia sign major infrastructure deal</w:t>
                      </w:r>
                    </w:p>
                    <w:p w:rsidR="001462B0" w:rsidRPr="00460DC0" w:rsidRDefault="001462B0" w:rsidP="00B86F01">
                      <w:pPr>
                        <w:pStyle w:val="ListParagraph"/>
                        <w:numPr>
                          <w:ilvl w:val="0"/>
                          <w:numId w:val="4"/>
                        </w:numPr>
                        <w:spacing w:line="276" w:lineRule="auto"/>
                        <w:ind w:left="450"/>
                        <w:rPr>
                          <w:sz w:val="20"/>
                          <w:szCs w:val="20"/>
                        </w:rPr>
                      </w:pPr>
                      <w:r w:rsidRPr="00460DC0">
                        <w:rPr>
                          <w:sz w:val="20"/>
                          <w:szCs w:val="20"/>
                        </w:rPr>
                        <w:t>Fourth Mongolian bank to close</w:t>
                      </w:r>
                    </w:p>
                    <w:p w:rsidR="001462B0" w:rsidRPr="00460DC0" w:rsidRDefault="001462B0" w:rsidP="00B86F01">
                      <w:pPr>
                        <w:pStyle w:val="ListParagraph"/>
                        <w:numPr>
                          <w:ilvl w:val="0"/>
                          <w:numId w:val="4"/>
                        </w:numPr>
                        <w:spacing w:line="276" w:lineRule="auto"/>
                        <w:ind w:left="450"/>
                        <w:rPr>
                          <w:sz w:val="20"/>
                          <w:szCs w:val="20"/>
                        </w:rPr>
                      </w:pPr>
                      <w:r w:rsidRPr="00460DC0">
                        <w:rPr>
                          <w:sz w:val="20"/>
                          <w:szCs w:val="20"/>
                        </w:rPr>
                        <w:t>Mongolia has been added to the grey list</w:t>
                      </w:r>
                    </w:p>
                  </w:txbxContent>
                </v:textbox>
                <w10:wrap type="square"/>
              </v:shape>
            </w:pict>
          </mc:Fallback>
        </mc:AlternateContent>
      </w:r>
      <w:r w:rsidR="00F470CF">
        <w:rPr>
          <w:rFonts w:ascii="Times New Roman" w:hAnsi="Times New Roman" w:cs="Times New Roman"/>
          <w:noProof/>
          <w:sz w:val="20"/>
          <w:szCs w:val="20"/>
        </w:rPr>
        <w:drawing>
          <wp:anchor distT="0" distB="0" distL="114300" distR="114300" simplePos="0" relativeHeight="251660288" behindDoc="1" locked="0" layoutInCell="1" allowOverlap="1" wp14:anchorId="6CC737B5" wp14:editId="31B10D05">
            <wp:simplePos x="0" y="0"/>
            <wp:positionH relativeFrom="column">
              <wp:posOffset>4773168</wp:posOffset>
            </wp:positionH>
            <wp:positionV relativeFrom="paragraph">
              <wp:posOffset>210439</wp:posOffset>
            </wp:positionV>
            <wp:extent cx="2394585" cy="6286500"/>
            <wp:effectExtent l="0" t="0" r="571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lum contrast="20000"/>
                      <a:extLst>
                        <a:ext uri="{28A0092B-C50C-407E-A947-70E740481C1C}">
                          <a14:useLocalDpi xmlns:a14="http://schemas.microsoft.com/office/drawing/2010/main" val="0"/>
                        </a:ext>
                      </a:extLst>
                    </a:blip>
                    <a:srcRect/>
                    <a:stretch>
                      <a:fillRect/>
                    </a:stretch>
                  </pic:blipFill>
                  <pic:spPr bwMode="auto">
                    <a:xfrm>
                      <a:off x="0" y="0"/>
                      <a:ext cx="2394585" cy="6286500"/>
                    </a:xfrm>
                    <a:prstGeom prst="rect">
                      <a:avLst/>
                    </a:prstGeom>
                    <a:noFill/>
                  </pic:spPr>
                </pic:pic>
              </a:graphicData>
            </a:graphic>
            <wp14:sizeRelH relativeFrom="page">
              <wp14:pctWidth>0</wp14:pctWidth>
            </wp14:sizeRelH>
            <wp14:sizeRelV relativeFrom="page">
              <wp14:pctHeight>0</wp14:pctHeight>
            </wp14:sizeRelV>
          </wp:anchor>
        </w:drawing>
      </w:r>
      <w:r w:rsidR="00E118CC" w:rsidRPr="005526E2">
        <w:rPr>
          <w:rFonts w:asciiTheme="majorHAnsi" w:hAnsiTheme="majorHAnsi" w:cstheme="majorHAnsi"/>
          <w:b/>
          <w:color w:val="4A0419"/>
          <w:sz w:val="31"/>
          <w:szCs w:val="31"/>
        </w:rPr>
        <w:t>MONGOLIA ECONOMIC REVIEW 2019</w:t>
      </w:r>
    </w:p>
    <w:p w:rsidR="00E47FB1" w:rsidRPr="007637F8" w:rsidRDefault="00A9532E" w:rsidP="00E47FB1">
      <w:pPr>
        <w:rPr>
          <w:rFonts w:asciiTheme="majorHAnsi" w:hAnsiTheme="majorHAnsi" w:cstheme="majorHAnsi"/>
          <w:b/>
          <w:color w:val="800000"/>
          <w:u w:val="single"/>
        </w:rPr>
      </w:pPr>
      <w:r w:rsidRPr="007637F8">
        <w:rPr>
          <w:rFonts w:asciiTheme="majorHAnsi" w:hAnsiTheme="majorHAnsi" w:cstheme="majorHAnsi"/>
          <w:b/>
          <w:color w:val="800000"/>
          <w:u w:val="single"/>
        </w:rPr>
        <w:t>Economy grows by 5.1% in 2019</w:t>
      </w:r>
    </w:p>
    <w:p w:rsidR="00373B04" w:rsidRPr="007637F8" w:rsidRDefault="00E47FB1" w:rsidP="00373B04">
      <w:pPr>
        <w:jc w:val="both"/>
        <w:rPr>
          <w:rFonts w:ascii="Calibri Light" w:hAnsi="Calibri Light" w:cs="Calibri Light"/>
        </w:rPr>
      </w:pPr>
      <w:r w:rsidRPr="007637F8">
        <w:rPr>
          <w:rFonts w:ascii="Calibri Light" w:hAnsi="Calibri Light" w:cs="Calibri Light"/>
          <w:noProof/>
        </w:rPr>
        <w:drawing>
          <wp:anchor distT="0" distB="0" distL="114300" distR="114300" simplePos="0" relativeHeight="251659264" behindDoc="0" locked="0" layoutInCell="1" allowOverlap="1" wp14:anchorId="7C4D1EC1" wp14:editId="35A1C966">
            <wp:simplePos x="0" y="0"/>
            <wp:positionH relativeFrom="column">
              <wp:posOffset>0</wp:posOffset>
            </wp:positionH>
            <wp:positionV relativeFrom="paragraph">
              <wp:posOffset>1143</wp:posOffset>
            </wp:positionV>
            <wp:extent cx="3188262" cy="1691236"/>
            <wp:effectExtent l="0" t="0" r="12700" b="444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19116E" w:rsidRPr="007637F8">
        <w:rPr>
          <w:rFonts w:ascii="Calibri Light" w:hAnsi="Calibri Light" w:cs="Calibri Light"/>
        </w:rPr>
        <w:t xml:space="preserve">Mongolian economy grew by 5.1% in 2019, compared to the growth rate of 7.2% in the previous year. </w:t>
      </w:r>
      <w:r w:rsidR="00DF1CBA" w:rsidRPr="007637F8">
        <w:rPr>
          <w:rFonts w:ascii="Calibri Light" w:hAnsi="Calibri Light" w:cs="Calibri Light"/>
        </w:rPr>
        <w:t xml:space="preserve">Mongolia’s economy grew by 6.3% y/y in the first nine months of 2019, down from the 6.6% growth recorded in the same period of last year. Despite the slight slowdown, high growth was maintained on the back of growing minerals </w:t>
      </w:r>
      <w:r w:rsidR="00F81BDF" w:rsidRPr="007637F8">
        <w:rPr>
          <w:rFonts w:ascii="Calibri Light" w:hAnsi="Calibri Light" w:cs="Calibri Light"/>
        </w:rPr>
        <w:t>output and exports mainly due</w:t>
      </w:r>
      <w:r w:rsidR="00DF1CBA" w:rsidRPr="007637F8">
        <w:rPr>
          <w:rFonts w:ascii="Calibri Light" w:hAnsi="Calibri Light" w:cs="Calibri Light"/>
        </w:rPr>
        <w:t xml:space="preserve"> to continuously rising coal exports to China. </w:t>
      </w:r>
      <w:r w:rsidR="004D5FF6" w:rsidRPr="007637F8">
        <w:rPr>
          <w:rFonts w:ascii="Calibri Light" w:hAnsi="Calibri Light" w:cs="Calibri Light"/>
        </w:rPr>
        <w:t>The European Bank for Reconstruction and Development (EBRD) projects Mongolia’s economy will</w:t>
      </w:r>
      <w:r w:rsidR="004D5FF6" w:rsidRPr="007637F8">
        <w:rPr>
          <w:rFonts w:ascii="Calibri Light" w:hAnsi="Calibri Light" w:cs="Calibri Light"/>
        </w:rPr>
        <w:t xml:space="preserve"> </w:t>
      </w:r>
      <w:r w:rsidR="00FA4C12" w:rsidRPr="007637F8">
        <w:rPr>
          <w:rFonts w:ascii="Calibri Light" w:hAnsi="Calibri Light" w:cs="Calibri Light"/>
        </w:rPr>
        <w:t>slump down to 5.0% in 2020</w:t>
      </w:r>
      <w:r w:rsidR="00DF1CBA" w:rsidRPr="007637F8">
        <w:rPr>
          <w:rFonts w:ascii="Calibri Light" w:hAnsi="Calibri Light" w:cs="Calibri Light"/>
        </w:rPr>
        <w:t>, especially if the economic slowdown in China is intensified by a trade war and ge</w:t>
      </w:r>
      <w:r w:rsidR="00FA4C12" w:rsidRPr="007637F8">
        <w:rPr>
          <w:rFonts w:ascii="Calibri Light" w:hAnsi="Calibri Light" w:cs="Calibri Light"/>
        </w:rPr>
        <w:t xml:space="preserve">opolitical tensions with the US, as well as </w:t>
      </w:r>
      <w:r w:rsidR="00DF1CBA" w:rsidRPr="007637F8">
        <w:rPr>
          <w:rFonts w:ascii="Calibri Light" w:hAnsi="Calibri Light" w:cs="Calibri Light"/>
        </w:rPr>
        <w:t>the stalling of reforms due to political uncertainty in the run-up to the 2020 parliamentary elections in Mongolia.</w:t>
      </w:r>
      <w:r w:rsidR="00FA4C12" w:rsidRPr="007637F8">
        <w:rPr>
          <w:rFonts w:ascii="Calibri Light" w:hAnsi="Calibri Light" w:cs="Calibri Light"/>
        </w:rPr>
        <w:t xml:space="preserve"> </w:t>
      </w:r>
      <w:r w:rsidR="00DF1CBA" w:rsidRPr="007637F8">
        <w:rPr>
          <w:rFonts w:ascii="Calibri Light" w:hAnsi="Calibri Light" w:cs="Calibri Light"/>
        </w:rPr>
        <w:t>At the same time, growth is set to be aided by further investment in the underground expansion of Oyu Tolgoi copper and gold mine, while private consumption is also projected as s</w:t>
      </w:r>
      <w:r w:rsidR="000C01C9" w:rsidRPr="007637F8">
        <w:rPr>
          <w:rFonts w:ascii="Calibri Light" w:hAnsi="Calibri Light" w:cs="Calibri Light"/>
        </w:rPr>
        <w:t>upporting economic growth due</w:t>
      </w:r>
      <w:r w:rsidR="00DF1CBA" w:rsidRPr="007637F8">
        <w:rPr>
          <w:rFonts w:ascii="Calibri Light" w:hAnsi="Calibri Light" w:cs="Calibri Light"/>
        </w:rPr>
        <w:t xml:space="preserve"> to rising real incomes due, in part, to increased salaries for public workers.</w:t>
      </w:r>
    </w:p>
    <w:p w:rsidR="007637F8" w:rsidRDefault="00710A4F" w:rsidP="00E44DD4">
      <w:pPr>
        <w:jc w:val="both"/>
        <w:rPr>
          <w:rFonts w:ascii="Calibri Light" w:hAnsi="Calibri Light" w:cs="Calibri Light"/>
        </w:rPr>
      </w:pPr>
      <w:r w:rsidRPr="007637F8">
        <w:rPr>
          <w:rFonts w:ascii="Calibri Light" w:hAnsi="Calibri Light" w:cs="Calibri Light"/>
          <w:noProof/>
        </w:rPr>
        <w:drawing>
          <wp:anchor distT="0" distB="0" distL="114300" distR="114300" simplePos="0" relativeHeight="251663360" behindDoc="0" locked="0" layoutInCell="1" allowOverlap="1" wp14:anchorId="6AEF570D" wp14:editId="7AEB7CEA">
            <wp:simplePos x="0" y="0"/>
            <wp:positionH relativeFrom="column">
              <wp:posOffset>1522404</wp:posOffset>
            </wp:positionH>
            <wp:positionV relativeFrom="paragraph">
              <wp:posOffset>3175</wp:posOffset>
            </wp:positionV>
            <wp:extent cx="3187700" cy="1609090"/>
            <wp:effectExtent l="0" t="0" r="12700" b="1016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E44DD4" w:rsidRPr="007637F8">
        <w:rPr>
          <w:rFonts w:ascii="Calibri Light" w:hAnsi="Calibri Light" w:cs="Calibri Light"/>
        </w:rPr>
        <w:t>Mongolia's Foreign Direct Investment (FDI)</w:t>
      </w:r>
      <w:r w:rsidR="00256636" w:rsidRPr="007637F8">
        <w:rPr>
          <w:rFonts w:ascii="Calibri Light" w:hAnsi="Calibri Light" w:cs="Calibri Light"/>
        </w:rPr>
        <w:t xml:space="preserve"> increased by 406.8</w:t>
      </w:r>
      <w:r w:rsidR="00E44DD4" w:rsidRPr="007637F8">
        <w:rPr>
          <w:rFonts w:ascii="Calibri Light" w:hAnsi="Calibri Light" w:cs="Calibri Light"/>
        </w:rPr>
        <w:t xml:space="preserve"> USD m</w:t>
      </w:r>
      <w:r w:rsidR="00D26FA9" w:rsidRPr="007637F8">
        <w:rPr>
          <w:rFonts w:ascii="Calibri Light" w:hAnsi="Calibri Light" w:cs="Calibri Light"/>
        </w:rPr>
        <w:t>l</w:t>
      </w:r>
      <w:r w:rsidR="009E1A30">
        <w:rPr>
          <w:rFonts w:ascii="Calibri Light" w:hAnsi="Calibri Light" w:cs="Calibri Light"/>
        </w:rPr>
        <w:t>n in December</w:t>
      </w:r>
      <w:r w:rsidR="00E44DD4" w:rsidRPr="007637F8">
        <w:rPr>
          <w:rFonts w:ascii="Calibri Light" w:hAnsi="Calibri Light" w:cs="Calibri Light"/>
        </w:rPr>
        <w:t xml:space="preserve"> 2019, </w:t>
      </w:r>
      <w:r w:rsidR="00256636" w:rsidRPr="007637F8">
        <w:rPr>
          <w:rFonts w:ascii="Calibri Light" w:hAnsi="Calibri Light" w:cs="Calibri Light"/>
        </w:rPr>
        <w:t>compared with an increase of 161</w:t>
      </w:r>
      <w:r w:rsidR="00E44DD4" w:rsidRPr="007637F8">
        <w:rPr>
          <w:rFonts w:ascii="Calibri Light" w:hAnsi="Calibri Light" w:cs="Calibri Light"/>
        </w:rPr>
        <w:t>.3 USD m</w:t>
      </w:r>
      <w:r w:rsidR="004D080D" w:rsidRPr="007637F8">
        <w:rPr>
          <w:rFonts w:ascii="Calibri Light" w:hAnsi="Calibri Light" w:cs="Calibri Light"/>
        </w:rPr>
        <w:t>n in the previous month.</w:t>
      </w:r>
      <w:r w:rsidR="005C37D6" w:rsidRPr="007637F8">
        <w:rPr>
          <w:rFonts w:ascii="Calibri Light" w:hAnsi="Calibri Light" w:cs="Calibri Light"/>
        </w:rPr>
        <w:t xml:space="preserve"> </w:t>
      </w:r>
      <w:r w:rsidR="000C01C9" w:rsidRPr="007637F8">
        <w:rPr>
          <w:rFonts w:ascii="Calibri Light" w:hAnsi="Calibri Light" w:cs="Calibri Light"/>
        </w:rPr>
        <w:t xml:space="preserve">Mongolia’s economic growth remains heavily dependent on investment, which is largely funded by volatile FDI flows. </w:t>
      </w:r>
      <w:r w:rsidR="005C37D6" w:rsidRPr="007637F8">
        <w:rPr>
          <w:rFonts w:ascii="Calibri Light" w:hAnsi="Calibri Light" w:cs="Calibri Light"/>
        </w:rPr>
        <w:t>The IMF’s Extended Fund Facility program improved national credibility among foreign investors and gradually attracted FDI.</w:t>
      </w:r>
      <w:r w:rsidR="004D080D" w:rsidRPr="007637F8">
        <w:rPr>
          <w:rFonts w:ascii="Calibri Light" w:hAnsi="Calibri Light" w:cs="Calibri Light"/>
        </w:rPr>
        <w:t xml:space="preserve"> Mongolia’s</w:t>
      </w:r>
      <w:r w:rsidR="00E44DD4" w:rsidRPr="007637F8">
        <w:rPr>
          <w:rFonts w:ascii="Calibri Light" w:hAnsi="Calibri Light" w:cs="Calibri Light"/>
        </w:rPr>
        <w:t xml:space="preserve"> Foreign Portfolio Investment fe</w:t>
      </w:r>
      <w:r w:rsidR="004D080D" w:rsidRPr="007637F8">
        <w:rPr>
          <w:rFonts w:ascii="Calibri Light" w:hAnsi="Calibri Light" w:cs="Calibri Light"/>
        </w:rPr>
        <w:t>ll by 23.6 USD m</w:t>
      </w:r>
      <w:r w:rsidR="00E70EBD" w:rsidRPr="007637F8">
        <w:rPr>
          <w:rFonts w:ascii="Calibri Light" w:hAnsi="Calibri Light" w:cs="Calibri Light"/>
        </w:rPr>
        <w:t>illio</w:t>
      </w:r>
      <w:r w:rsidR="004D080D" w:rsidRPr="007637F8">
        <w:rPr>
          <w:rFonts w:ascii="Calibri Light" w:hAnsi="Calibri Light" w:cs="Calibri Light"/>
        </w:rPr>
        <w:t xml:space="preserve">n in </w:t>
      </w:r>
      <w:r w:rsidR="009E1A30">
        <w:rPr>
          <w:rFonts w:ascii="Calibri Light" w:hAnsi="Calibri Light" w:cs="Calibri Light"/>
        </w:rPr>
        <w:t>December</w:t>
      </w:r>
      <w:r w:rsidR="004D080D" w:rsidRPr="007637F8">
        <w:rPr>
          <w:rFonts w:ascii="Calibri Light" w:hAnsi="Calibri Light" w:cs="Calibri Light"/>
        </w:rPr>
        <w:t xml:space="preserve"> 2019. </w:t>
      </w:r>
    </w:p>
    <w:p w:rsidR="007637F8" w:rsidRPr="007637F8" w:rsidRDefault="007637F8" w:rsidP="00E44DD4">
      <w:pPr>
        <w:jc w:val="both"/>
        <w:rPr>
          <w:rFonts w:ascii="Calibri Light" w:hAnsi="Calibri Light" w:cs="Calibri Light"/>
        </w:rPr>
      </w:pPr>
    </w:p>
    <w:p w:rsidR="00915C34" w:rsidRDefault="00915C34" w:rsidP="00E44DD4">
      <w:pPr>
        <w:jc w:val="both"/>
        <w:rPr>
          <w:rFonts w:asciiTheme="majorHAnsi" w:hAnsiTheme="majorHAnsi" w:cstheme="majorHAnsi"/>
          <w:b/>
          <w:color w:val="800000"/>
          <w:sz w:val="20"/>
          <w:szCs w:val="20"/>
          <w:u w:val="single"/>
        </w:rPr>
      </w:pPr>
      <w:r w:rsidRPr="00915C34">
        <w:rPr>
          <w:rFonts w:asciiTheme="majorHAnsi" w:hAnsiTheme="majorHAnsi" w:cstheme="majorHAnsi"/>
          <w:noProof/>
          <w:color w:val="800000"/>
          <w:sz w:val="20"/>
          <w:szCs w:val="20"/>
        </w:rPr>
        <w:lastRenderedPageBreak/>
        <w:drawing>
          <wp:inline distT="0" distB="0" distL="0" distR="0" wp14:anchorId="388E9E0E">
            <wp:extent cx="1505585" cy="51181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05585" cy="511810"/>
                    </a:xfrm>
                    <a:prstGeom prst="rect">
                      <a:avLst/>
                    </a:prstGeom>
                    <a:noFill/>
                  </pic:spPr>
                </pic:pic>
              </a:graphicData>
            </a:graphic>
          </wp:inline>
        </w:drawing>
      </w:r>
    </w:p>
    <w:p w:rsidR="00FF7130" w:rsidRPr="007637F8" w:rsidRDefault="00915C34" w:rsidP="00E44DD4">
      <w:pPr>
        <w:jc w:val="both"/>
        <w:rPr>
          <w:rFonts w:asciiTheme="majorHAnsi" w:hAnsiTheme="majorHAnsi" w:cstheme="majorHAnsi"/>
          <w:b/>
          <w:color w:val="800000"/>
          <w:u w:val="single"/>
        </w:rPr>
      </w:pPr>
      <w:r w:rsidRPr="007637F8">
        <w:rPr>
          <w:rFonts w:asciiTheme="majorHAnsi" w:hAnsiTheme="majorHAnsi" w:cstheme="majorHAnsi"/>
          <w:b/>
          <w:color w:val="800000"/>
          <w:u w:val="single"/>
        </w:rPr>
        <w:t>Unemployment</w:t>
      </w:r>
    </w:p>
    <w:p w:rsidR="007637F8" w:rsidRDefault="00FF7130" w:rsidP="00FF7130">
      <w:pPr>
        <w:jc w:val="both"/>
        <w:rPr>
          <w:rFonts w:ascii="Calibri Light" w:hAnsi="Calibri Light" w:cs="Calibri Light"/>
        </w:rPr>
      </w:pPr>
      <w:r w:rsidRPr="007637F8">
        <w:rPr>
          <w:rFonts w:ascii="Calibri Light" w:hAnsi="Calibri Light" w:cs="Calibri Light"/>
          <w:noProof/>
        </w:rPr>
        <w:drawing>
          <wp:anchor distT="0" distB="0" distL="114300" distR="114300" simplePos="0" relativeHeight="251664384" behindDoc="0" locked="0" layoutInCell="1" allowOverlap="1">
            <wp:simplePos x="0" y="0"/>
            <wp:positionH relativeFrom="column">
              <wp:posOffset>4046</wp:posOffset>
            </wp:positionH>
            <wp:positionV relativeFrom="paragraph">
              <wp:posOffset>-3085</wp:posOffset>
            </wp:positionV>
            <wp:extent cx="3592864" cy="1923415"/>
            <wp:effectExtent l="0" t="0" r="7620" b="63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972DFA" w:rsidRPr="007637F8">
        <w:rPr>
          <w:rFonts w:ascii="Calibri Light" w:hAnsi="Calibri Light" w:cs="Calibri Light"/>
        </w:rPr>
        <w:t>The u</w:t>
      </w:r>
      <w:r w:rsidRPr="007637F8">
        <w:rPr>
          <w:rFonts w:ascii="Calibri Light" w:hAnsi="Calibri Light" w:cs="Calibri Light"/>
        </w:rPr>
        <w:t>nemployme</w:t>
      </w:r>
      <w:r w:rsidR="00972DFA" w:rsidRPr="007637F8">
        <w:rPr>
          <w:rFonts w:ascii="Calibri Light" w:hAnsi="Calibri Light" w:cs="Calibri Light"/>
        </w:rPr>
        <w:t>nt r</w:t>
      </w:r>
      <w:r w:rsidR="004B1A81" w:rsidRPr="007637F8">
        <w:rPr>
          <w:rFonts w:ascii="Calibri Light" w:hAnsi="Calibri Light" w:cs="Calibri Light"/>
        </w:rPr>
        <w:t xml:space="preserve">ate </w:t>
      </w:r>
      <w:r w:rsidR="00972DFA" w:rsidRPr="007637F8">
        <w:rPr>
          <w:rFonts w:ascii="Calibri Light" w:hAnsi="Calibri Light" w:cs="Calibri Light"/>
        </w:rPr>
        <w:t>of Mongolia reached</w:t>
      </w:r>
      <w:r w:rsidR="009E1A30">
        <w:rPr>
          <w:rFonts w:ascii="Calibri Light" w:hAnsi="Calibri Light" w:cs="Calibri Light"/>
        </w:rPr>
        <w:t xml:space="preserve"> 9.90 % in December</w:t>
      </w:r>
      <w:r w:rsidRPr="007637F8">
        <w:rPr>
          <w:rFonts w:ascii="Calibri Light" w:hAnsi="Calibri Light" w:cs="Calibri Light"/>
        </w:rPr>
        <w:t xml:space="preserve"> </w:t>
      </w:r>
      <w:r w:rsidR="004B1A81" w:rsidRPr="007637F8">
        <w:rPr>
          <w:rFonts w:ascii="Calibri Light" w:hAnsi="Calibri Light" w:cs="Calibri Light"/>
        </w:rPr>
        <w:t>2019</w:t>
      </w:r>
      <w:r w:rsidR="00063416" w:rsidRPr="007637F8">
        <w:rPr>
          <w:rFonts w:ascii="Calibri Light" w:hAnsi="Calibri Light" w:cs="Calibri Light"/>
        </w:rPr>
        <w:t xml:space="preserve"> with 126 thousand unemployed people</w:t>
      </w:r>
      <w:r w:rsidRPr="007637F8">
        <w:rPr>
          <w:rFonts w:ascii="Calibri Light" w:hAnsi="Calibri Light" w:cs="Calibri Light"/>
        </w:rPr>
        <w:t xml:space="preserve">. </w:t>
      </w:r>
      <w:r w:rsidR="00472C99" w:rsidRPr="007637F8">
        <w:rPr>
          <w:rFonts w:ascii="Calibri Light" w:hAnsi="Calibri Light" w:cs="Calibri Light"/>
        </w:rPr>
        <w:t xml:space="preserve">In 2018, the employment </w:t>
      </w:r>
      <w:r w:rsidR="003E7344" w:rsidRPr="007637F8">
        <w:rPr>
          <w:rFonts w:ascii="Calibri Light" w:hAnsi="Calibri Light" w:cs="Calibri Light"/>
        </w:rPr>
        <w:t>expansion in the industrial, mining manufacturing and construction services were the largest contributors to employment growth. However, despite an increasing share of employment in the industrial sector, the majority of the employed population remains engaged in low-end services and agriculture. Although the</w:t>
      </w:r>
      <w:r w:rsidR="00472C99" w:rsidRPr="007637F8">
        <w:rPr>
          <w:rFonts w:ascii="Calibri Light" w:hAnsi="Calibri Light" w:cs="Calibri Light"/>
        </w:rPr>
        <w:t xml:space="preserve"> </w:t>
      </w:r>
      <w:r w:rsidR="00D84AC9" w:rsidRPr="007637F8">
        <w:rPr>
          <w:rFonts w:ascii="Calibri Light" w:hAnsi="Calibri Light" w:cs="Calibri Light"/>
        </w:rPr>
        <w:t>labor market</w:t>
      </w:r>
      <w:r w:rsidR="00472C99" w:rsidRPr="007637F8">
        <w:rPr>
          <w:rFonts w:ascii="Calibri Light" w:hAnsi="Calibri Light" w:cs="Calibri Light"/>
        </w:rPr>
        <w:t xml:space="preserve"> conditions</w:t>
      </w:r>
      <w:r w:rsidR="003E7344" w:rsidRPr="007637F8">
        <w:rPr>
          <w:rFonts w:ascii="Calibri Light" w:hAnsi="Calibri Light" w:cs="Calibri Light"/>
        </w:rPr>
        <w:t xml:space="preserve"> have improved</w:t>
      </w:r>
      <w:r w:rsidR="00D84AC9" w:rsidRPr="007637F8">
        <w:rPr>
          <w:rFonts w:ascii="Calibri Light" w:hAnsi="Calibri Light" w:cs="Calibri Light"/>
        </w:rPr>
        <w:t>, the</w:t>
      </w:r>
      <w:r w:rsidR="00472C99" w:rsidRPr="007637F8">
        <w:rPr>
          <w:rFonts w:ascii="Calibri Light" w:hAnsi="Calibri Light" w:cs="Calibri Light"/>
        </w:rPr>
        <w:t xml:space="preserve"> gender wage gap remains wide and the female labor force participation rate is at a historic low</w:t>
      </w:r>
      <w:r w:rsidR="00D84AC9" w:rsidRPr="007637F8">
        <w:rPr>
          <w:rFonts w:ascii="Calibri Light" w:hAnsi="Calibri Light" w:cs="Calibri Light"/>
        </w:rPr>
        <w:t xml:space="preserve">. </w:t>
      </w:r>
      <w:r w:rsidR="00417FB8" w:rsidRPr="007637F8">
        <w:rPr>
          <w:rFonts w:ascii="Calibri Light" w:hAnsi="Calibri Light" w:cs="Calibri Light"/>
        </w:rPr>
        <w:t>The gap is partly explained by the fact that many women are employed in informal or low-end service activities, while and increasing number of men have obtained jobs in better-paid sectors (such as mining, manufacturing and construction)</w:t>
      </w:r>
      <w:r w:rsidR="002D5425" w:rsidRPr="007637F8">
        <w:rPr>
          <w:rFonts w:ascii="Calibri Light" w:hAnsi="Calibri Light" w:cs="Calibri Light"/>
        </w:rPr>
        <w:t xml:space="preserve">. To reduce gender disparities in Mongolia’s labor market, a recent qualitative study suggested a package of policy reforms including promoting a mandatory gender nondiscrimination policy in hiring, ensuring access to finance and training for female-operated micro-businesses, and expanding the quantity and quality of early childcare services. </w:t>
      </w:r>
      <w:r w:rsidRPr="007637F8">
        <w:rPr>
          <w:rFonts w:ascii="Calibri Light" w:hAnsi="Calibri Light" w:cs="Calibri Light"/>
        </w:rPr>
        <w:t>Monthly Earnings of Mon</w:t>
      </w:r>
      <w:r w:rsidR="002D5425" w:rsidRPr="007637F8">
        <w:rPr>
          <w:rFonts w:ascii="Calibri Light" w:hAnsi="Calibri Light" w:cs="Calibri Light"/>
        </w:rPr>
        <w:t>golia stood at 439.04 USD and t</w:t>
      </w:r>
      <w:r w:rsidRPr="007637F8">
        <w:rPr>
          <w:rFonts w:ascii="Calibri Light" w:hAnsi="Calibri Light" w:cs="Calibri Light"/>
        </w:rPr>
        <w:t>he country's Labour Force Participatio</w:t>
      </w:r>
      <w:r w:rsidR="002D5425" w:rsidRPr="007637F8">
        <w:rPr>
          <w:rFonts w:ascii="Calibri Light" w:hAnsi="Calibri Light" w:cs="Calibri Light"/>
        </w:rPr>
        <w:t>n Rate dropped to 60.10 % in</w:t>
      </w:r>
      <w:r w:rsidRPr="007637F8">
        <w:rPr>
          <w:rFonts w:ascii="Calibri Light" w:hAnsi="Calibri Light" w:cs="Calibri Light"/>
        </w:rPr>
        <w:t xml:space="preserve"> 2019.</w:t>
      </w:r>
    </w:p>
    <w:p w:rsidR="00710A4F" w:rsidRPr="007637F8" w:rsidRDefault="00710A4F" w:rsidP="00FF7130">
      <w:pPr>
        <w:jc w:val="both"/>
        <w:rPr>
          <w:rFonts w:ascii="Calibri Light" w:hAnsi="Calibri Light" w:cs="Calibri Light"/>
        </w:rPr>
      </w:pPr>
    </w:p>
    <w:p w:rsidR="007637F8" w:rsidRPr="00DF1223" w:rsidRDefault="007637F8" w:rsidP="007637F8">
      <w:pPr>
        <w:jc w:val="both"/>
        <w:rPr>
          <w:rFonts w:asciiTheme="majorHAnsi" w:hAnsiTheme="majorHAnsi" w:cstheme="majorHAnsi"/>
          <w:b/>
          <w:color w:val="800000"/>
          <w:u w:val="single"/>
        </w:rPr>
      </w:pPr>
      <w:r w:rsidRPr="00DF1223">
        <w:rPr>
          <w:rFonts w:asciiTheme="majorHAnsi" w:hAnsiTheme="majorHAnsi" w:cstheme="majorHAnsi"/>
          <w:b/>
          <w:color w:val="800000"/>
          <w:u w:val="single"/>
        </w:rPr>
        <w:t>Inflation</w:t>
      </w:r>
    </w:p>
    <w:p w:rsidR="009E1A30" w:rsidRDefault="00710A4F" w:rsidP="007637F8">
      <w:pPr>
        <w:jc w:val="both"/>
        <w:rPr>
          <w:rFonts w:ascii="Calibri Light" w:hAnsi="Calibri Light" w:cs="Calibri Light"/>
        </w:rPr>
      </w:pPr>
      <w:r>
        <w:rPr>
          <w:rFonts w:ascii="Times New Roman" w:hAnsi="Times New Roman" w:cs="Times New Roman"/>
          <w:noProof/>
          <w:sz w:val="20"/>
          <w:szCs w:val="20"/>
        </w:rPr>
        <w:drawing>
          <wp:anchor distT="0" distB="0" distL="114300" distR="114300" simplePos="0" relativeHeight="251665408" behindDoc="0" locked="0" layoutInCell="1" allowOverlap="1" wp14:anchorId="78654068" wp14:editId="5F64E09F">
            <wp:simplePos x="0" y="0"/>
            <wp:positionH relativeFrom="column">
              <wp:posOffset>3264900</wp:posOffset>
            </wp:positionH>
            <wp:positionV relativeFrom="paragraph">
              <wp:posOffset>72829</wp:posOffset>
            </wp:positionV>
            <wp:extent cx="3641090" cy="1699260"/>
            <wp:effectExtent l="0" t="0" r="16510" b="1524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7637F8" w:rsidRPr="009E1A30">
        <w:rPr>
          <w:rFonts w:ascii="Calibri Light" w:hAnsi="Calibri Light" w:cs="Calibri Light"/>
        </w:rPr>
        <w:t>The annual inflation r</w:t>
      </w:r>
      <w:r w:rsidR="009E1A30">
        <w:rPr>
          <w:rFonts w:ascii="Calibri Light" w:hAnsi="Calibri Light" w:cs="Calibri Light"/>
        </w:rPr>
        <w:t>ate in Mongolia went down to 5.2% as of December</w:t>
      </w:r>
      <w:r w:rsidR="007637F8" w:rsidRPr="009E1A30">
        <w:rPr>
          <w:rFonts w:ascii="Calibri Light" w:hAnsi="Calibri Light" w:cs="Calibri Light"/>
        </w:rPr>
        <w:t xml:space="preserve"> 2019</w:t>
      </w:r>
      <w:r w:rsidR="009E1A30">
        <w:rPr>
          <w:rFonts w:ascii="Calibri Light" w:hAnsi="Calibri Light" w:cs="Calibri Light"/>
        </w:rPr>
        <w:t>, went down by 2.9% from previous year</w:t>
      </w:r>
      <w:r w:rsidR="007637F8" w:rsidRPr="009E1A30">
        <w:rPr>
          <w:rFonts w:ascii="Calibri Light" w:hAnsi="Calibri Light" w:cs="Calibri Light"/>
        </w:rPr>
        <w:t xml:space="preserve">. It was the lowest inflation rate since July, as cost slowed for food &amp; non-alcoholic beverages (14 percent vs 15.6 percent in September); clothing &amp; footwear (8.1 percent vs 8.9 percent); housing &amp; utilities (8.6 percent vs 11.3 percent); furniture &amp; household equipment (4.4 percent vs 4.6 percent); recreation &amp; culture (10.8 percent vs 13 percent); alcoholic beverages &amp; tobacco (3.2 percent vs 3.6 percent); miscellaneous goods &amp; services (5.7 percent vs 6.0 percent); health (4.8 percent vs 5.3 percent) and restaurants &amp; hotels (11.9 percent vs 12.3 percent). In addition, transport cost dropped 0.8 percent, after increasing 2.1 percent. On a monthly basis, consumer prices fell 0.3 percent, after a flat reading in September. </w:t>
      </w:r>
    </w:p>
    <w:p w:rsidR="007637F8" w:rsidRDefault="007637F8" w:rsidP="00FF7130">
      <w:pPr>
        <w:jc w:val="both"/>
        <w:rPr>
          <w:rFonts w:ascii="Times New Roman" w:hAnsi="Times New Roman" w:cs="Times New Roman"/>
          <w:sz w:val="20"/>
          <w:szCs w:val="20"/>
        </w:rPr>
      </w:pPr>
    </w:p>
    <w:p w:rsidR="00EA6CCA" w:rsidRDefault="00EA6CCA" w:rsidP="00FF7130">
      <w:pPr>
        <w:jc w:val="both"/>
        <w:rPr>
          <w:rFonts w:ascii="Times New Roman" w:hAnsi="Times New Roman" w:cs="Times New Roman"/>
          <w:sz w:val="20"/>
          <w:szCs w:val="20"/>
        </w:rPr>
      </w:pPr>
    </w:p>
    <w:p w:rsidR="00B17CDD" w:rsidRDefault="00B17CDD" w:rsidP="00FF7130">
      <w:pPr>
        <w:jc w:val="both"/>
        <w:rPr>
          <w:rFonts w:ascii="Times New Roman" w:hAnsi="Times New Roman" w:cs="Times New Roman"/>
          <w:sz w:val="20"/>
          <w:szCs w:val="20"/>
        </w:rPr>
      </w:pPr>
    </w:p>
    <w:p w:rsidR="00B17CDD" w:rsidRDefault="00B17CDD" w:rsidP="00FF7130">
      <w:pPr>
        <w:jc w:val="both"/>
        <w:rPr>
          <w:rFonts w:ascii="Times New Roman" w:hAnsi="Times New Roman" w:cs="Times New Roman"/>
          <w:sz w:val="20"/>
          <w:szCs w:val="20"/>
        </w:rPr>
      </w:pPr>
    </w:p>
    <w:p w:rsidR="00B17CDD" w:rsidRDefault="00B17CDD" w:rsidP="00FF7130">
      <w:pPr>
        <w:jc w:val="both"/>
        <w:rPr>
          <w:rFonts w:ascii="Times New Roman" w:hAnsi="Times New Roman" w:cs="Times New Roman"/>
          <w:sz w:val="20"/>
          <w:szCs w:val="20"/>
        </w:rPr>
      </w:pPr>
    </w:p>
    <w:p w:rsidR="00CF73F5" w:rsidRDefault="00CF73F5" w:rsidP="00CF73F5">
      <w:pPr>
        <w:spacing w:after="120"/>
        <w:jc w:val="both"/>
        <w:rPr>
          <w:rFonts w:ascii="Times New Roman" w:hAnsi="Times New Roman" w:cs="Times New Roman"/>
          <w:sz w:val="24"/>
          <w:szCs w:val="24"/>
        </w:rPr>
      </w:pPr>
      <w:r w:rsidRPr="00CF73F5">
        <w:rPr>
          <w:rFonts w:ascii="Times New Roman" w:hAnsi="Times New Roman" w:cs="Times New Roman"/>
          <w:sz w:val="20"/>
          <w:szCs w:val="20"/>
        </w:rPr>
        <w:drawing>
          <wp:anchor distT="0" distB="0" distL="114300" distR="114300" simplePos="0" relativeHeight="251669504" behindDoc="1" locked="0" layoutInCell="1" allowOverlap="1" wp14:anchorId="60BACED8" wp14:editId="799E14C0">
            <wp:simplePos x="0" y="0"/>
            <wp:positionH relativeFrom="column">
              <wp:posOffset>-316865</wp:posOffset>
            </wp:positionH>
            <wp:positionV relativeFrom="paragraph">
              <wp:posOffset>97213</wp:posOffset>
            </wp:positionV>
            <wp:extent cx="7530465" cy="12700"/>
            <wp:effectExtent l="0" t="0" r="0" b="63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30465" cy="12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 xml:space="preserve">                                                                                                  </w:t>
      </w:r>
      <w:hyperlink r:id="rId22" w:history="1">
        <w:r w:rsidRPr="00CF73F5">
          <w:rPr>
            <w:rStyle w:val="Hyperlink"/>
            <w:rFonts w:ascii="Times New Roman" w:hAnsi="Times New Roman" w:cs="Times New Roman"/>
            <w:color w:val="800000"/>
            <w:sz w:val="24"/>
            <w:szCs w:val="24"/>
          </w:rPr>
          <w:t>www.nim.mn</w:t>
        </w:r>
      </w:hyperlink>
    </w:p>
    <w:p w:rsidR="00B17CDD" w:rsidRPr="00CF73F5" w:rsidRDefault="00CF73F5" w:rsidP="00CF73F5">
      <w:pPr>
        <w:spacing w:after="120"/>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F73F5">
        <w:rPr>
          <w:rFonts w:ascii="Times New Roman" w:hAnsi="Times New Roman" w:cs="Times New Roman"/>
          <w:sz w:val="24"/>
          <w:szCs w:val="24"/>
        </w:rPr>
        <w:t>pg. 2</w:t>
      </w:r>
    </w:p>
    <w:p w:rsidR="00B17CDD" w:rsidRDefault="00B17CDD" w:rsidP="00FF7130">
      <w:pPr>
        <w:jc w:val="both"/>
        <w:rPr>
          <w:rFonts w:ascii="Times New Roman" w:hAnsi="Times New Roman" w:cs="Times New Roman"/>
          <w:sz w:val="20"/>
          <w:szCs w:val="20"/>
        </w:rPr>
      </w:pPr>
      <w:r>
        <w:rPr>
          <w:rFonts w:ascii="Times New Roman" w:hAnsi="Times New Roman" w:cs="Times New Roman"/>
          <w:b/>
          <w:noProof/>
          <w:sz w:val="20"/>
          <w:szCs w:val="20"/>
        </w:rPr>
        <w:lastRenderedPageBreak/>
        <w:drawing>
          <wp:anchor distT="0" distB="0" distL="114300" distR="114300" simplePos="0" relativeHeight="251667456" behindDoc="0" locked="0" layoutInCell="1" allowOverlap="1" wp14:anchorId="0C06BEEF" wp14:editId="79D786ED">
            <wp:simplePos x="0" y="0"/>
            <wp:positionH relativeFrom="column">
              <wp:posOffset>3175</wp:posOffset>
            </wp:positionH>
            <wp:positionV relativeFrom="paragraph">
              <wp:posOffset>163</wp:posOffset>
            </wp:positionV>
            <wp:extent cx="1502410" cy="509270"/>
            <wp:effectExtent l="0" t="0" r="2540" b="508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IM logo.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02410" cy="509270"/>
                    </a:xfrm>
                    <a:prstGeom prst="rect">
                      <a:avLst/>
                    </a:prstGeom>
                  </pic:spPr>
                </pic:pic>
              </a:graphicData>
            </a:graphic>
          </wp:anchor>
        </w:drawing>
      </w:r>
    </w:p>
    <w:p w:rsidR="00C250CC" w:rsidRDefault="00C250CC" w:rsidP="00C250CC">
      <w:pPr>
        <w:spacing w:line="480" w:lineRule="auto"/>
        <w:jc w:val="both"/>
        <w:rPr>
          <w:rFonts w:ascii="Calibri Light" w:hAnsi="Calibri Light" w:cs="Calibri Light"/>
          <w:b/>
          <w:color w:val="800000"/>
          <w:u w:val="single"/>
        </w:rPr>
      </w:pPr>
    </w:p>
    <w:p w:rsidR="00871F57" w:rsidRPr="00B17CDD" w:rsidRDefault="00B17CDD" w:rsidP="00C250CC">
      <w:pPr>
        <w:spacing w:line="480" w:lineRule="auto"/>
        <w:jc w:val="both"/>
        <w:rPr>
          <w:rFonts w:ascii="Calibri Light" w:hAnsi="Calibri Light" w:cs="Calibri Light"/>
          <w:b/>
          <w:color w:val="800000"/>
          <w:u w:val="single"/>
        </w:rPr>
      </w:pPr>
      <w:r w:rsidRPr="00B17CDD">
        <w:rPr>
          <w:rFonts w:ascii="Calibri Light" w:hAnsi="Calibri Light" w:cs="Calibri Light"/>
          <w:b/>
          <w:color w:val="800000"/>
          <w:u w:val="single"/>
        </w:rPr>
        <w:t>MNT-US$ Exc</w:t>
      </w:r>
      <w:r w:rsidR="00C250CC">
        <w:rPr>
          <w:rFonts w:ascii="Calibri Light" w:hAnsi="Calibri Light" w:cs="Calibri Light"/>
          <w:b/>
          <w:color w:val="800000"/>
          <w:u w:val="single"/>
        </w:rPr>
        <w:t>hange R</w:t>
      </w:r>
      <w:r w:rsidRPr="00B17CDD">
        <w:rPr>
          <w:rFonts w:ascii="Calibri Light" w:hAnsi="Calibri Light" w:cs="Calibri Light"/>
          <w:b/>
          <w:color w:val="800000"/>
          <w:u w:val="single"/>
        </w:rPr>
        <w:t>ate</w:t>
      </w:r>
    </w:p>
    <w:p w:rsidR="00692AF9" w:rsidRPr="00EA6CCA" w:rsidRDefault="00871F57" w:rsidP="00EA6CCA">
      <w:pPr>
        <w:jc w:val="both"/>
        <w:rPr>
          <w:rFonts w:ascii="Calibri Light" w:hAnsi="Calibri Light" w:cs="Calibri Light"/>
        </w:rPr>
      </w:pPr>
      <w:r w:rsidRPr="00C250CC">
        <w:rPr>
          <w:rFonts w:ascii="Calibri Light" w:hAnsi="Calibri Light" w:cs="Calibri Light"/>
          <w:noProof/>
        </w:rPr>
        <w:drawing>
          <wp:anchor distT="0" distB="0" distL="114300" distR="114300" simplePos="0" relativeHeight="251670528" behindDoc="0" locked="0" layoutInCell="1" allowOverlap="1">
            <wp:simplePos x="0" y="0"/>
            <wp:positionH relativeFrom="column">
              <wp:posOffset>0</wp:posOffset>
            </wp:positionH>
            <wp:positionV relativeFrom="paragraph">
              <wp:posOffset>-1270</wp:posOffset>
            </wp:positionV>
            <wp:extent cx="3350103" cy="1675051"/>
            <wp:effectExtent l="0" t="0" r="3175" b="1905"/>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00692AF9" w:rsidRPr="00C250CC">
        <w:rPr>
          <w:rFonts w:ascii="Calibri Light" w:hAnsi="Calibri Light" w:cs="Calibri Light"/>
        </w:rPr>
        <w:t>The exchange rate for the year 2019, has been in</w:t>
      </w:r>
      <w:r w:rsidR="005E2FC8">
        <w:rPr>
          <w:rFonts w:ascii="Calibri Light" w:hAnsi="Calibri Light" w:cs="Calibri Light"/>
        </w:rPr>
        <w:t>creasing gradually since April.</w:t>
      </w:r>
      <w:r w:rsidR="00692AF9" w:rsidRPr="00C250CC">
        <w:rPr>
          <w:rFonts w:ascii="Calibri Light" w:hAnsi="Calibri Light" w:cs="Calibri Light"/>
        </w:rPr>
        <w:t xml:space="preserve"> Mongolia's Exchange Rate against USD ave</w:t>
      </w:r>
      <w:r w:rsidR="005E2FC8">
        <w:rPr>
          <w:rFonts w:ascii="Calibri Light" w:hAnsi="Calibri Light" w:cs="Calibri Light"/>
        </w:rPr>
        <w:t>raged 2,715.22 (MNT/USD) in December</w:t>
      </w:r>
      <w:r w:rsidR="00692AF9" w:rsidRPr="00C250CC">
        <w:rPr>
          <w:rFonts w:ascii="Calibri Light" w:hAnsi="Calibri Light" w:cs="Calibri Light"/>
        </w:rPr>
        <w:t xml:space="preserve"> 2019, compared with 2,701.11 MNT/USD in the previous month. </w:t>
      </w:r>
      <w:r w:rsidR="007D0E65">
        <w:rPr>
          <w:rFonts w:ascii="Calibri Light" w:hAnsi="Calibri Light" w:cs="Calibri Light"/>
        </w:rPr>
        <w:t>Pressure on the exchange rate was moderate during the first half of the year but accelerated thereafter, partly reflecting general U.S. dollar strength against the currencies of Mongolia’s peers and neighbors and partly explained by some market panic prompted by the gray listing of Mongolia by the Financial Action Task Force (FATF).</w:t>
      </w:r>
    </w:p>
    <w:p w:rsidR="00692AF9" w:rsidRDefault="00C250CC" w:rsidP="00692AF9">
      <w:pPr>
        <w:rPr>
          <w:rFonts w:asciiTheme="majorHAnsi" w:hAnsiTheme="majorHAnsi" w:cstheme="majorHAnsi"/>
          <w:b/>
          <w:color w:val="800000"/>
          <w:u w:val="single"/>
        </w:rPr>
      </w:pPr>
      <w:r w:rsidRPr="00C250CC">
        <w:rPr>
          <w:rFonts w:asciiTheme="majorHAnsi" w:hAnsiTheme="majorHAnsi" w:cstheme="majorHAnsi"/>
          <w:b/>
          <w:color w:val="800000"/>
          <w:u w:val="single"/>
        </w:rPr>
        <w:t>External Trade</w:t>
      </w:r>
      <w:r w:rsidR="00692AF9" w:rsidRPr="00C250CC">
        <w:rPr>
          <w:rFonts w:asciiTheme="majorHAnsi" w:hAnsiTheme="majorHAnsi" w:cstheme="majorHAnsi"/>
          <w:b/>
          <w:color w:val="800000"/>
          <w:u w:val="single"/>
        </w:rPr>
        <w:t xml:space="preserve"> </w:t>
      </w:r>
    </w:p>
    <w:p w:rsidR="00D9037C" w:rsidRPr="00D9037C" w:rsidRDefault="00D9037C" w:rsidP="00D9037C">
      <w:pPr>
        <w:jc w:val="both"/>
        <w:rPr>
          <w:rFonts w:ascii="Calibri Light" w:hAnsi="Calibri Light" w:cs="Calibri Light"/>
        </w:rPr>
      </w:pPr>
      <w:r w:rsidRPr="00D9037C">
        <w:rPr>
          <w:rFonts w:ascii="Calibri Light" w:hAnsi="Calibri Light" w:cs="Calibri Light"/>
        </w:rPr>
        <w:t>In 2019, Mongolia traded with 152 countries from all over the world and total trade turnover reached USD 13.7 billion, of which USD 7.6 billion were exports and USD 6.1 billion were imports. Total foreign trade turnover increased by USD 860.6 (6.7%) million, of which exports increased by USD 608.0 million (8.7%) and imports increased by USD 252.6 million (8.0%) compared to the same period of previous year.</w:t>
      </w:r>
      <w:r>
        <w:rPr>
          <w:rFonts w:ascii="Calibri Light" w:hAnsi="Calibri Light" w:cs="Calibri Light"/>
        </w:rPr>
        <w:t xml:space="preserve"> </w:t>
      </w:r>
      <w:r w:rsidRPr="00D9037C">
        <w:rPr>
          <w:rFonts w:ascii="Calibri Light" w:hAnsi="Calibri Light" w:cs="Calibri Light"/>
        </w:rPr>
        <w:t>Mongolian foreign trade balance has been in surplus since 2014 and foreign trade surplus reached USD 1.5 billion in 2019, increased by USD 355.4 million (31.3%) from previous year.</w:t>
      </w:r>
      <w:r>
        <w:rPr>
          <w:rFonts w:ascii="Calibri Light" w:hAnsi="Calibri Light" w:cs="Calibri Light"/>
        </w:rPr>
        <w:t xml:space="preserve"> </w:t>
      </w:r>
      <w:r w:rsidRPr="00D9037C">
        <w:rPr>
          <w:rFonts w:ascii="Calibri Light" w:hAnsi="Calibri Light" w:cs="Calibri Light"/>
        </w:rPr>
        <w:t>In December 2019, foreign trade surplus reached to USD 20.5 million. Compared to the previous month, foreign trade surplus increased by USD 12.9 million.</w:t>
      </w:r>
      <w:r>
        <w:rPr>
          <w:rFonts w:ascii="Calibri Light" w:hAnsi="Calibri Light" w:cs="Calibri Light"/>
        </w:rPr>
        <w:t xml:space="preserve"> </w:t>
      </w:r>
      <w:r w:rsidRPr="00D9037C">
        <w:rPr>
          <w:rFonts w:ascii="Calibri Light" w:hAnsi="Calibri Light" w:cs="Calibri Light"/>
        </w:rPr>
        <w:t>In total turnover, trades with two neighbor countries China and Russia have highest shares where trade with China was USD 8.9 billion in 2019, which is 64.4% of total goods turnover and 89.1 percent of exports.</w:t>
      </w:r>
    </w:p>
    <w:p w:rsidR="00E34DAB" w:rsidRDefault="00EA6CCA" w:rsidP="00692AF9">
      <w:pPr>
        <w:rPr>
          <w:rFonts w:ascii="Times New Roman" w:hAnsi="Times New Roman" w:cs="Times New Roman"/>
          <w:sz w:val="20"/>
          <w:szCs w:val="20"/>
        </w:rPr>
      </w:pPr>
      <w:r>
        <w:rPr>
          <w:rFonts w:ascii="Times New Roman" w:hAnsi="Times New Roman" w:cs="Times New Roman"/>
          <w:sz w:val="20"/>
          <w:szCs w:val="20"/>
        </w:rPr>
        <w:t xml:space="preserve">          </w:t>
      </w:r>
      <w:r w:rsidR="00820303">
        <w:rPr>
          <w:rFonts w:ascii="Times New Roman" w:hAnsi="Times New Roman" w:cs="Times New Roman"/>
          <w:noProof/>
          <w:sz w:val="20"/>
          <w:szCs w:val="20"/>
        </w:rPr>
        <w:drawing>
          <wp:inline distT="0" distB="0" distL="0" distR="0">
            <wp:extent cx="6263640" cy="2724912"/>
            <wp:effectExtent l="0" t="0" r="381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9037C" w:rsidRDefault="00D9037C" w:rsidP="00AD66B8">
      <w:pPr>
        <w:jc w:val="both"/>
        <w:rPr>
          <w:rFonts w:ascii="Calibri Light" w:hAnsi="Calibri Light" w:cs="Calibri Light"/>
        </w:rPr>
      </w:pPr>
    </w:p>
    <w:p w:rsidR="00EA6CCA" w:rsidRDefault="00EA6CCA" w:rsidP="00EA6CCA">
      <w:pPr>
        <w:jc w:val="both"/>
        <w:rPr>
          <w:rFonts w:ascii="Times New Roman" w:hAnsi="Times New Roman" w:cs="Times New Roman"/>
          <w:sz w:val="20"/>
          <w:szCs w:val="20"/>
        </w:rPr>
      </w:pPr>
    </w:p>
    <w:p w:rsidR="00EA6CCA" w:rsidRDefault="00EA6CCA" w:rsidP="00EA6CCA">
      <w:pPr>
        <w:jc w:val="both"/>
        <w:rPr>
          <w:rFonts w:ascii="Times New Roman" w:hAnsi="Times New Roman" w:cs="Times New Roman"/>
          <w:sz w:val="20"/>
          <w:szCs w:val="20"/>
        </w:rPr>
      </w:pPr>
    </w:p>
    <w:p w:rsidR="00EA6CCA" w:rsidRDefault="00EA6CCA" w:rsidP="00EA6CCA">
      <w:pPr>
        <w:spacing w:after="120"/>
        <w:jc w:val="both"/>
        <w:rPr>
          <w:rFonts w:ascii="Times New Roman" w:hAnsi="Times New Roman" w:cs="Times New Roman"/>
          <w:sz w:val="24"/>
          <w:szCs w:val="24"/>
        </w:rPr>
      </w:pPr>
      <w:r w:rsidRPr="00CF73F5">
        <w:rPr>
          <w:rFonts w:ascii="Times New Roman" w:hAnsi="Times New Roman" w:cs="Times New Roman"/>
          <w:sz w:val="20"/>
          <w:szCs w:val="20"/>
        </w:rPr>
        <w:drawing>
          <wp:anchor distT="0" distB="0" distL="114300" distR="114300" simplePos="0" relativeHeight="251672576" behindDoc="1" locked="0" layoutInCell="1" allowOverlap="1" wp14:anchorId="54A0A656" wp14:editId="321A180C">
            <wp:simplePos x="0" y="0"/>
            <wp:positionH relativeFrom="column">
              <wp:posOffset>-316865</wp:posOffset>
            </wp:positionH>
            <wp:positionV relativeFrom="paragraph">
              <wp:posOffset>97213</wp:posOffset>
            </wp:positionV>
            <wp:extent cx="7530465" cy="12700"/>
            <wp:effectExtent l="0" t="0" r="0"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30465" cy="12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 xml:space="preserve">                                                                                                  </w:t>
      </w:r>
      <w:hyperlink r:id="rId26" w:history="1">
        <w:r w:rsidRPr="00CF73F5">
          <w:rPr>
            <w:rStyle w:val="Hyperlink"/>
            <w:rFonts w:ascii="Times New Roman" w:hAnsi="Times New Roman" w:cs="Times New Roman"/>
            <w:color w:val="800000"/>
            <w:sz w:val="24"/>
            <w:szCs w:val="24"/>
          </w:rPr>
          <w:t>www.nim.mn</w:t>
        </w:r>
      </w:hyperlink>
    </w:p>
    <w:p w:rsidR="00EA6CCA" w:rsidRPr="00CF73F5" w:rsidRDefault="00EA6CCA" w:rsidP="00EA6CCA">
      <w:pPr>
        <w:spacing w:after="120"/>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4"/>
          <w:szCs w:val="24"/>
        </w:rPr>
        <w:t>pg. 3</w:t>
      </w:r>
    </w:p>
    <w:p w:rsidR="00D9037C" w:rsidRDefault="00EA6CCA" w:rsidP="00AD66B8">
      <w:pPr>
        <w:jc w:val="both"/>
        <w:rPr>
          <w:rFonts w:ascii="Calibri Light" w:hAnsi="Calibri Light" w:cs="Calibri Light"/>
        </w:rPr>
      </w:pPr>
      <w:r>
        <w:rPr>
          <w:rFonts w:ascii="Times New Roman" w:hAnsi="Times New Roman" w:cs="Times New Roman"/>
          <w:b/>
          <w:noProof/>
          <w:sz w:val="20"/>
          <w:szCs w:val="20"/>
        </w:rPr>
        <w:lastRenderedPageBreak/>
        <w:drawing>
          <wp:anchor distT="0" distB="0" distL="114300" distR="114300" simplePos="0" relativeHeight="251674624" behindDoc="0" locked="0" layoutInCell="1" allowOverlap="1" wp14:anchorId="68AD737F" wp14:editId="6134B93C">
            <wp:simplePos x="0" y="0"/>
            <wp:positionH relativeFrom="column">
              <wp:posOffset>0</wp:posOffset>
            </wp:positionH>
            <wp:positionV relativeFrom="paragraph">
              <wp:posOffset>163</wp:posOffset>
            </wp:positionV>
            <wp:extent cx="1502410" cy="509270"/>
            <wp:effectExtent l="0" t="0" r="2540" b="508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IM logo.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02410" cy="509270"/>
                    </a:xfrm>
                    <a:prstGeom prst="rect">
                      <a:avLst/>
                    </a:prstGeom>
                  </pic:spPr>
                </pic:pic>
              </a:graphicData>
            </a:graphic>
          </wp:anchor>
        </w:drawing>
      </w:r>
    </w:p>
    <w:p w:rsidR="00C25A87" w:rsidRDefault="00C25A87" w:rsidP="00BD67F3">
      <w:pPr>
        <w:spacing w:line="276" w:lineRule="auto"/>
        <w:jc w:val="both"/>
        <w:rPr>
          <w:rFonts w:ascii="Calibri Light" w:hAnsi="Calibri Light" w:cs="Calibri Light"/>
        </w:rPr>
      </w:pPr>
    </w:p>
    <w:p w:rsidR="00D9037C" w:rsidRPr="00D9037C" w:rsidRDefault="00D9037C" w:rsidP="00BD67F3">
      <w:pPr>
        <w:spacing w:line="276" w:lineRule="auto"/>
        <w:jc w:val="both"/>
        <w:rPr>
          <w:rFonts w:ascii="Calibri Light" w:hAnsi="Calibri Light" w:cs="Calibri Light"/>
        </w:rPr>
      </w:pPr>
      <w:r w:rsidRPr="00D9037C">
        <w:rPr>
          <w:rFonts w:ascii="Calibri Light" w:hAnsi="Calibri Light" w:cs="Calibri Light"/>
        </w:rPr>
        <w:t xml:space="preserve">In December 2019, exports and imports reached to USD 564.2 million and USD 543.6 million, respectively. Compared to the previous month, exports increased by USD 37.3 million and imports increased by USD 24.4 million. </w:t>
      </w:r>
      <w:r w:rsidR="00BD67F3" w:rsidRPr="00D9037C">
        <w:rPr>
          <w:rFonts w:ascii="Calibri Light" w:hAnsi="Calibri Light" w:cs="Calibri Light"/>
        </w:rPr>
        <w:t>The 608.0 million increase in exports from the same period of previous year was mainly due to the increases in exports of USD 288.2 million in bituminous coal and USD 273.9 million in raw or semi-manufactured gold.</w:t>
      </w:r>
      <w:r w:rsidR="00BD67F3">
        <w:rPr>
          <w:rFonts w:ascii="Calibri Light" w:hAnsi="Calibri Light" w:cs="Calibri Light"/>
        </w:rPr>
        <w:t xml:space="preserve"> </w:t>
      </w:r>
      <w:r w:rsidR="00BD67F3" w:rsidRPr="00D9037C">
        <w:rPr>
          <w:rFonts w:ascii="Calibri Light" w:hAnsi="Calibri Light" w:cs="Calibri Light"/>
        </w:rPr>
        <w:t>The USD 252.6 million increase in imports from the same period of previous year was mainly due to USD 46.5 million increase in mineral products imports, especially, USD 92.6 million increase in diesel imports and USD 267.0 million increase in imports of transport vehicles and its spare parts. Exports of mineral products, textiles and textile articles, natural or cultured stones, precious metals jewelry made up 94.9 percent of total export. On the other hand, 68.9 percent of imports was mineral products, machinery, equipment, electric appliances, transport vehicle and its spare parts and food products.</w:t>
      </w:r>
    </w:p>
    <w:p w:rsidR="00EA6CCA" w:rsidRDefault="00C53637" w:rsidP="00692AF9">
      <w:pPr>
        <w:jc w:val="both"/>
        <w:rPr>
          <w:rFonts w:ascii="Calibri Light" w:hAnsi="Calibri Light" w:cs="Calibri Light"/>
        </w:rPr>
      </w:pPr>
      <w:r>
        <w:rPr>
          <w:rFonts w:ascii="Calibri Light" w:hAnsi="Calibri Light" w:cs="Calibri Light"/>
          <w:noProof/>
        </w:rPr>
        <w:drawing>
          <wp:inline distT="0" distB="0" distL="0" distR="0">
            <wp:extent cx="3325827" cy="2662279"/>
            <wp:effectExtent l="0" t="0" r="8255" b="508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C1174F">
        <w:rPr>
          <w:rFonts w:ascii="Calibri Light" w:hAnsi="Calibri Light" w:cs="Calibri Light"/>
        </w:rPr>
        <w:t xml:space="preserve">        </w:t>
      </w:r>
      <w:r>
        <w:rPr>
          <w:rFonts w:ascii="Calibri Light" w:hAnsi="Calibri Light" w:cs="Calibri Light"/>
        </w:rPr>
        <w:t xml:space="preserve">   </w:t>
      </w:r>
      <w:r>
        <w:rPr>
          <w:rFonts w:ascii="Calibri Light" w:hAnsi="Calibri Light" w:cs="Calibri Light"/>
          <w:noProof/>
        </w:rPr>
        <w:drawing>
          <wp:inline distT="0" distB="0" distL="0" distR="0">
            <wp:extent cx="3123526" cy="2661920"/>
            <wp:effectExtent l="0" t="0" r="1270" b="508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D67F3" w:rsidRPr="00BD67F3" w:rsidRDefault="00BD67F3" w:rsidP="00692AF9">
      <w:pPr>
        <w:jc w:val="both"/>
        <w:rPr>
          <w:rFonts w:ascii="Calibri Light" w:hAnsi="Calibri Light" w:cs="Calibri Light"/>
        </w:rPr>
      </w:pPr>
    </w:p>
    <w:p w:rsidR="00001E88" w:rsidRPr="00BD67F3" w:rsidRDefault="00BD67F3" w:rsidP="00692AF9">
      <w:pPr>
        <w:jc w:val="both"/>
        <w:rPr>
          <w:rFonts w:asciiTheme="majorHAnsi" w:hAnsiTheme="majorHAnsi" w:cstheme="majorHAnsi"/>
          <w:b/>
          <w:color w:val="800000"/>
          <w:u w:val="single"/>
        </w:rPr>
      </w:pPr>
      <w:r w:rsidRPr="00BD67F3">
        <w:rPr>
          <w:rFonts w:asciiTheme="majorHAnsi" w:hAnsiTheme="majorHAnsi" w:cstheme="majorHAnsi"/>
          <w:b/>
          <w:color w:val="800000"/>
          <w:u w:val="single"/>
        </w:rPr>
        <w:t>Banking S</w:t>
      </w:r>
      <w:r w:rsidR="00001E88" w:rsidRPr="00BD67F3">
        <w:rPr>
          <w:rFonts w:asciiTheme="majorHAnsi" w:hAnsiTheme="majorHAnsi" w:cstheme="majorHAnsi"/>
          <w:b/>
          <w:color w:val="800000"/>
          <w:u w:val="single"/>
        </w:rPr>
        <w:t>ector:</w:t>
      </w:r>
    </w:p>
    <w:p w:rsidR="00DE219A" w:rsidRPr="00A755C5" w:rsidRDefault="00726E59" w:rsidP="00A755C5">
      <w:pPr>
        <w:jc w:val="both"/>
        <w:rPr>
          <w:rFonts w:ascii="Calibri Light" w:hAnsi="Calibri Light" w:cs="Calibri Light"/>
        </w:rPr>
      </w:pPr>
      <w:r w:rsidRPr="00A755C5">
        <w:rPr>
          <w:rFonts w:ascii="Calibri Light" w:hAnsi="Calibri Light" w:cs="Calibri Light"/>
          <w:noProof/>
        </w:rPr>
        <w:drawing>
          <wp:anchor distT="0" distB="0" distL="114300" distR="114300" simplePos="0" relativeHeight="251675648" behindDoc="0" locked="0" layoutInCell="1" allowOverlap="1">
            <wp:simplePos x="0" y="0"/>
            <wp:positionH relativeFrom="column">
              <wp:posOffset>4046</wp:posOffset>
            </wp:positionH>
            <wp:positionV relativeFrom="paragraph">
              <wp:posOffset>2770</wp:posOffset>
            </wp:positionV>
            <wp:extent cx="3576680" cy="2249586"/>
            <wp:effectExtent l="0" t="0" r="5080" b="1778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rsidR="002F5865" w:rsidRPr="00A755C5">
        <w:rPr>
          <w:rFonts w:ascii="Calibri Light" w:hAnsi="Calibri Light" w:cs="Calibri Light"/>
        </w:rPr>
        <w:t>Total loans outstanding at Mongolia’s commercial banks reached MNT 17.9 trillion as of December 2019</w:t>
      </w:r>
      <w:r w:rsidR="0050461B" w:rsidRPr="00A755C5">
        <w:rPr>
          <w:rFonts w:ascii="Calibri Light" w:hAnsi="Calibri Light" w:cs="Calibri Light"/>
        </w:rPr>
        <w:t xml:space="preserve">. </w:t>
      </w:r>
      <w:r w:rsidR="00A755C5" w:rsidRPr="00A755C5">
        <w:rPr>
          <w:rFonts w:ascii="Calibri Light" w:hAnsi="Calibri Light" w:cs="Calibri Light"/>
        </w:rPr>
        <w:t xml:space="preserve">Total assets </w:t>
      </w:r>
      <w:r w:rsidR="00A755C5" w:rsidRPr="00A755C5">
        <w:rPr>
          <w:rFonts w:ascii="Calibri Light" w:hAnsi="Calibri Light" w:cs="Calibri Light"/>
        </w:rPr>
        <w:t xml:space="preserve">in the banking sector reached 97 percent of GDP in 2019 </w:t>
      </w:r>
      <w:r w:rsidR="00A755C5" w:rsidRPr="00A755C5">
        <w:rPr>
          <w:rFonts w:ascii="Calibri Light" w:hAnsi="Calibri Light" w:cs="Calibri Light"/>
        </w:rPr>
        <w:t xml:space="preserve">compared to 56 percent in 2008. </w:t>
      </w:r>
      <w:r w:rsidR="00A755C5" w:rsidRPr="00A755C5">
        <w:rPr>
          <w:rFonts w:ascii="Calibri Light" w:hAnsi="Calibri Light" w:cs="Calibri Light"/>
        </w:rPr>
        <w:t>Mongolia’s finan</w:t>
      </w:r>
      <w:r w:rsidR="00A755C5" w:rsidRPr="00A755C5">
        <w:rPr>
          <w:rFonts w:ascii="Calibri Light" w:hAnsi="Calibri Light" w:cs="Calibri Light"/>
        </w:rPr>
        <w:t xml:space="preserve">cial sector is highly dominated </w:t>
      </w:r>
      <w:r w:rsidR="00A755C5" w:rsidRPr="00A755C5">
        <w:rPr>
          <w:rFonts w:ascii="Calibri Light" w:hAnsi="Calibri Light" w:cs="Calibri Light"/>
        </w:rPr>
        <w:t>by the banking</w:t>
      </w:r>
      <w:r w:rsidR="00A755C5" w:rsidRPr="00A755C5">
        <w:rPr>
          <w:rFonts w:ascii="Calibri Light" w:hAnsi="Calibri Light" w:cs="Calibri Light"/>
        </w:rPr>
        <w:t xml:space="preserve"> system (close to 90 percent as </w:t>
      </w:r>
      <w:r w:rsidR="00A755C5" w:rsidRPr="00A755C5">
        <w:rPr>
          <w:rFonts w:ascii="Calibri Light" w:hAnsi="Calibri Light" w:cs="Calibri Light"/>
        </w:rPr>
        <w:t>of H1 2019),</w:t>
      </w:r>
      <w:r w:rsidR="00A755C5" w:rsidRPr="00A755C5">
        <w:rPr>
          <w:rFonts w:ascii="Calibri Light" w:hAnsi="Calibri Light" w:cs="Calibri Light"/>
        </w:rPr>
        <w:t xml:space="preserve"> 27 and consequently, loans from </w:t>
      </w:r>
      <w:r w:rsidR="00A755C5" w:rsidRPr="00A755C5">
        <w:rPr>
          <w:rFonts w:ascii="Calibri Light" w:hAnsi="Calibri Light" w:cs="Calibri Light"/>
        </w:rPr>
        <w:t>commercial banks are the main financing source</w:t>
      </w:r>
      <w:r w:rsidR="00A755C5" w:rsidRPr="00A755C5">
        <w:rPr>
          <w:rFonts w:ascii="Calibri Light" w:hAnsi="Calibri Light" w:cs="Calibri Light"/>
        </w:rPr>
        <w:t xml:space="preserve"> </w:t>
      </w:r>
      <w:r w:rsidR="00A755C5" w:rsidRPr="00A755C5">
        <w:rPr>
          <w:rFonts w:ascii="Calibri Light" w:hAnsi="Calibri Light" w:cs="Calibri Light"/>
        </w:rPr>
        <w:t>for both individuals and businesses.</w:t>
      </w:r>
      <w:r w:rsidR="00A755C5" w:rsidRPr="00A755C5">
        <w:rPr>
          <w:rFonts w:ascii="Calibri Light" w:hAnsi="Calibri Light" w:cs="Calibri Light"/>
        </w:rPr>
        <w:t xml:space="preserve"> </w:t>
      </w:r>
      <w:r w:rsidR="00A755C5" w:rsidRPr="00A755C5">
        <w:rPr>
          <w:rFonts w:ascii="Calibri Light" w:hAnsi="Calibri Light" w:cs="Calibri Light"/>
        </w:rPr>
        <w:t>Total outstanding loans in the bank</w:t>
      </w:r>
      <w:r w:rsidR="00A755C5" w:rsidRPr="00A755C5">
        <w:rPr>
          <w:rFonts w:ascii="Calibri Light" w:hAnsi="Calibri Light" w:cs="Calibri Light"/>
        </w:rPr>
        <w:t xml:space="preserve">ing </w:t>
      </w:r>
      <w:r w:rsidR="00A755C5" w:rsidRPr="00A755C5">
        <w:rPr>
          <w:rFonts w:ascii="Calibri Light" w:hAnsi="Calibri Light" w:cs="Calibri Light"/>
        </w:rPr>
        <w:t>sector are eq</w:t>
      </w:r>
      <w:r w:rsidR="00A755C5" w:rsidRPr="00A755C5">
        <w:rPr>
          <w:rFonts w:ascii="Calibri Light" w:hAnsi="Calibri Light" w:cs="Calibri Light"/>
        </w:rPr>
        <w:t xml:space="preserve">uivalent to 56.3 percent of GDP </w:t>
      </w:r>
      <w:r w:rsidR="00A755C5" w:rsidRPr="00A755C5">
        <w:rPr>
          <w:rFonts w:ascii="Calibri Light" w:hAnsi="Calibri Light" w:cs="Calibri Light"/>
        </w:rPr>
        <w:t>in 2019. Meanwh</w:t>
      </w:r>
      <w:r w:rsidR="00A755C5" w:rsidRPr="00A755C5">
        <w:rPr>
          <w:rFonts w:ascii="Calibri Light" w:hAnsi="Calibri Light" w:cs="Calibri Light"/>
        </w:rPr>
        <w:t xml:space="preserve">ile, total deposits and current </w:t>
      </w:r>
      <w:r w:rsidR="00A755C5" w:rsidRPr="00A755C5">
        <w:rPr>
          <w:rFonts w:ascii="Calibri Light" w:hAnsi="Calibri Light" w:cs="Calibri Light"/>
        </w:rPr>
        <w:t>accounts (indiv</w:t>
      </w:r>
      <w:r w:rsidR="00A755C5" w:rsidRPr="00A755C5">
        <w:rPr>
          <w:rFonts w:ascii="Calibri Light" w:hAnsi="Calibri Light" w:cs="Calibri Light"/>
        </w:rPr>
        <w:t xml:space="preserve">iduals and companies) represent </w:t>
      </w:r>
      <w:r w:rsidR="00A755C5" w:rsidRPr="00A755C5">
        <w:rPr>
          <w:rFonts w:ascii="Calibri Light" w:hAnsi="Calibri Light" w:cs="Calibri Light"/>
        </w:rPr>
        <w:t>51 percent of GDP.</w:t>
      </w:r>
    </w:p>
    <w:p w:rsidR="00A755C5" w:rsidRDefault="00A755C5" w:rsidP="00692AF9">
      <w:pPr>
        <w:jc w:val="both"/>
        <w:rPr>
          <w:rFonts w:ascii="Times New Roman" w:hAnsi="Times New Roman" w:cs="Times New Roman"/>
          <w:sz w:val="20"/>
          <w:szCs w:val="20"/>
        </w:rPr>
      </w:pPr>
    </w:p>
    <w:p w:rsidR="00A755C5" w:rsidRDefault="00A755C5" w:rsidP="00A755C5">
      <w:pPr>
        <w:jc w:val="both"/>
        <w:rPr>
          <w:rFonts w:ascii="Times New Roman" w:hAnsi="Times New Roman" w:cs="Times New Roman"/>
          <w:sz w:val="20"/>
          <w:szCs w:val="20"/>
        </w:rPr>
      </w:pPr>
    </w:p>
    <w:p w:rsidR="00A755C5" w:rsidRDefault="00A755C5" w:rsidP="00A755C5">
      <w:pPr>
        <w:spacing w:after="120"/>
        <w:jc w:val="both"/>
        <w:rPr>
          <w:rFonts w:ascii="Times New Roman" w:hAnsi="Times New Roman" w:cs="Times New Roman"/>
          <w:sz w:val="24"/>
          <w:szCs w:val="24"/>
        </w:rPr>
      </w:pPr>
      <w:r w:rsidRPr="00CF73F5">
        <w:rPr>
          <w:rFonts w:ascii="Times New Roman" w:hAnsi="Times New Roman" w:cs="Times New Roman"/>
          <w:sz w:val="20"/>
          <w:szCs w:val="20"/>
        </w:rPr>
        <w:drawing>
          <wp:anchor distT="0" distB="0" distL="114300" distR="114300" simplePos="0" relativeHeight="251677696" behindDoc="1" locked="0" layoutInCell="1" allowOverlap="1" wp14:anchorId="181C38E1" wp14:editId="0DBEC5C4">
            <wp:simplePos x="0" y="0"/>
            <wp:positionH relativeFrom="column">
              <wp:posOffset>-316865</wp:posOffset>
            </wp:positionH>
            <wp:positionV relativeFrom="paragraph">
              <wp:posOffset>97213</wp:posOffset>
            </wp:positionV>
            <wp:extent cx="7530465" cy="12700"/>
            <wp:effectExtent l="0" t="0" r="0" b="63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30465" cy="12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 xml:space="preserve">                                                                                                  </w:t>
      </w:r>
      <w:hyperlink r:id="rId30" w:history="1">
        <w:r w:rsidRPr="00CF73F5">
          <w:rPr>
            <w:rStyle w:val="Hyperlink"/>
            <w:rFonts w:ascii="Times New Roman" w:hAnsi="Times New Roman" w:cs="Times New Roman"/>
            <w:color w:val="800000"/>
            <w:sz w:val="24"/>
            <w:szCs w:val="24"/>
          </w:rPr>
          <w:t>www.nim.mn</w:t>
        </w:r>
      </w:hyperlink>
    </w:p>
    <w:p w:rsidR="00A755C5" w:rsidRPr="00CF73F5" w:rsidRDefault="00A755C5" w:rsidP="00A755C5">
      <w:pPr>
        <w:spacing w:after="120"/>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E0611B">
        <w:rPr>
          <w:rFonts w:ascii="Times New Roman" w:hAnsi="Times New Roman" w:cs="Times New Roman"/>
          <w:sz w:val="24"/>
          <w:szCs w:val="24"/>
        </w:rPr>
        <w:t>pg. 4</w:t>
      </w:r>
    </w:p>
    <w:p w:rsidR="00A755C5" w:rsidRDefault="00A755C5" w:rsidP="00692AF9">
      <w:pPr>
        <w:jc w:val="both"/>
        <w:rPr>
          <w:rFonts w:ascii="Times New Roman" w:hAnsi="Times New Roman" w:cs="Times New Roman"/>
          <w:sz w:val="20"/>
          <w:szCs w:val="20"/>
        </w:rPr>
      </w:pPr>
      <w:r>
        <w:rPr>
          <w:rFonts w:ascii="Times New Roman" w:hAnsi="Times New Roman" w:cs="Times New Roman"/>
          <w:b/>
          <w:noProof/>
          <w:sz w:val="20"/>
          <w:szCs w:val="20"/>
        </w:rPr>
        <w:lastRenderedPageBreak/>
        <w:drawing>
          <wp:anchor distT="0" distB="0" distL="114300" distR="114300" simplePos="0" relativeHeight="251679744" behindDoc="0" locked="0" layoutInCell="1" allowOverlap="1" wp14:anchorId="551E7E57" wp14:editId="0DE1AA92">
            <wp:simplePos x="0" y="0"/>
            <wp:positionH relativeFrom="column">
              <wp:posOffset>0</wp:posOffset>
            </wp:positionH>
            <wp:positionV relativeFrom="paragraph">
              <wp:posOffset>360</wp:posOffset>
            </wp:positionV>
            <wp:extent cx="1502410" cy="509270"/>
            <wp:effectExtent l="0" t="0" r="2540" b="508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IM logo.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02410" cy="509270"/>
                    </a:xfrm>
                    <a:prstGeom prst="rect">
                      <a:avLst/>
                    </a:prstGeom>
                  </pic:spPr>
                </pic:pic>
              </a:graphicData>
            </a:graphic>
          </wp:anchor>
        </w:drawing>
      </w:r>
    </w:p>
    <w:p w:rsidR="00A755C5" w:rsidRDefault="00A755C5" w:rsidP="00692AF9">
      <w:pPr>
        <w:jc w:val="both"/>
        <w:rPr>
          <w:rFonts w:ascii="Times New Roman" w:hAnsi="Times New Roman" w:cs="Times New Roman"/>
          <w:sz w:val="20"/>
          <w:szCs w:val="20"/>
        </w:rPr>
      </w:pPr>
    </w:p>
    <w:p w:rsidR="00A755C5" w:rsidRDefault="00A755C5" w:rsidP="00692AF9">
      <w:pPr>
        <w:jc w:val="both"/>
        <w:rPr>
          <w:rFonts w:ascii="Times New Roman" w:hAnsi="Times New Roman" w:cs="Times New Roman"/>
          <w:sz w:val="20"/>
          <w:szCs w:val="20"/>
        </w:rPr>
      </w:pPr>
    </w:p>
    <w:p w:rsidR="003306DD" w:rsidRDefault="00233424" w:rsidP="00DB1F52">
      <w:pPr>
        <w:jc w:val="both"/>
        <w:rPr>
          <w:rFonts w:ascii="Calibri Light" w:hAnsi="Calibri Light" w:cs="Calibri Light"/>
        </w:rPr>
      </w:pPr>
      <w:r>
        <w:rPr>
          <w:rFonts w:ascii="Times New Roman" w:hAnsi="Times New Roman" w:cs="Times New Roman"/>
          <w:noProof/>
          <w:sz w:val="20"/>
          <w:szCs w:val="20"/>
        </w:rPr>
        <w:drawing>
          <wp:anchor distT="0" distB="0" distL="114300" distR="114300" simplePos="0" relativeHeight="251680768" behindDoc="0" locked="0" layoutInCell="1" allowOverlap="1" wp14:anchorId="1190C082" wp14:editId="7935EDCD">
            <wp:simplePos x="0" y="0"/>
            <wp:positionH relativeFrom="column">
              <wp:posOffset>3375914</wp:posOffset>
            </wp:positionH>
            <wp:positionV relativeFrom="paragraph">
              <wp:posOffset>66650</wp:posOffset>
            </wp:positionV>
            <wp:extent cx="3481705" cy="2259965"/>
            <wp:effectExtent l="0" t="0" r="4445" b="6985"/>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r w:rsidR="00ED1658" w:rsidRPr="00CE4327">
        <w:rPr>
          <w:rFonts w:ascii="Calibri Light" w:hAnsi="Calibri Light" w:cs="Calibri Light"/>
        </w:rPr>
        <w:t xml:space="preserve">The loan portfolio remains concentrated in five sectors </w:t>
      </w:r>
      <w:r w:rsidR="00ED1658" w:rsidRPr="00CE4327">
        <w:rPr>
          <w:rFonts w:ascii="Calibri Light" w:hAnsi="Calibri Light" w:cs="Calibri Light"/>
        </w:rPr>
        <w:t xml:space="preserve">that have strong links with the </w:t>
      </w:r>
      <w:r w:rsidR="00ED1658" w:rsidRPr="00CE4327">
        <w:rPr>
          <w:rFonts w:ascii="Calibri Light" w:hAnsi="Calibri Light" w:cs="Calibri Light"/>
        </w:rPr>
        <w:t>mining sector. Loan portfolios in these economic sectors account</w:t>
      </w:r>
      <w:r w:rsidR="00ED1658" w:rsidRPr="00CE4327">
        <w:rPr>
          <w:rFonts w:ascii="Calibri Light" w:hAnsi="Calibri Light" w:cs="Calibri Light"/>
        </w:rPr>
        <w:t xml:space="preserve"> for about half of total loans, </w:t>
      </w:r>
      <w:r w:rsidR="00ED1658" w:rsidRPr="00CE4327">
        <w:rPr>
          <w:rFonts w:ascii="Calibri Light" w:hAnsi="Calibri Light" w:cs="Calibri Light"/>
        </w:rPr>
        <w:t>while household loans including mortgage, consumption, and salary</w:t>
      </w:r>
      <w:r w:rsidR="00ED1658" w:rsidRPr="00CE4327">
        <w:rPr>
          <w:rFonts w:ascii="Calibri Light" w:hAnsi="Calibri Light" w:cs="Calibri Light"/>
        </w:rPr>
        <w:t xml:space="preserve"> loans constitute the remaining </w:t>
      </w:r>
      <w:r w:rsidR="00ED1658" w:rsidRPr="00CE4327">
        <w:rPr>
          <w:rFonts w:ascii="Calibri Light" w:hAnsi="Calibri Light" w:cs="Calibri Light"/>
        </w:rPr>
        <w:t>half.</w:t>
      </w:r>
      <w:r w:rsidR="00ED1658" w:rsidRPr="00CE4327">
        <w:rPr>
          <w:rFonts w:ascii="Calibri Light" w:hAnsi="Calibri Light" w:cs="Calibri Light"/>
        </w:rPr>
        <w:t xml:space="preserve"> </w:t>
      </w:r>
      <w:r w:rsidR="00ED1658" w:rsidRPr="00CE4327">
        <w:rPr>
          <w:rFonts w:ascii="Calibri Light" w:hAnsi="Calibri Light" w:cs="Calibri Light"/>
        </w:rPr>
        <w:t>A tightening of monetary and credit policies brought t</w:t>
      </w:r>
      <w:r w:rsidR="00DB1F52" w:rsidRPr="00CE4327">
        <w:rPr>
          <w:rFonts w:ascii="Calibri Light" w:hAnsi="Calibri Light" w:cs="Calibri Light"/>
        </w:rPr>
        <w:t xml:space="preserve">he most recent credit boom to a </w:t>
      </w:r>
      <w:r w:rsidR="00ED1658" w:rsidRPr="00CE4327">
        <w:rPr>
          <w:rFonts w:ascii="Calibri Light" w:hAnsi="Calibri Light" w:cs="Calibri Light"/>
        </w:rPr>
        <w:t>halt</w:t>
      </w:r>
      <w:r w:rsidR="00CE4327">
        <w:rPr>
          <w:rFonts w:ascii="Calibri Light" w:hAnsi="Calibri Light" w:cs="Calibri Light"/>
        </w:rPr>
        <w:t xml:space="preserve"> in 2019</w:t>
      </w:r>
      <w:r w:rsidR="00ED1658" w:rsidRPr="00CE4327">
        <w:rPr>
          <w:rFonts w:ascii="Calibri Light" w:hAnsi="Calibri Light" w:cs="Calibri Light"/>
        </w:rPr>
        <w:t xml:space="preserve">. </w:t>
      </w:r>
    </w:p>
    <w:p w:rsidR="00695870" w:rsidRDefault="00DB1F52" w:rsidP="00DB1F52">
      <w:pPr>
        <w:jc w:val="both"/>
        <w:rPr>
          <w:rFonts w:ascii="Calibri Light" w:hAnsi="Calibri Light" w:cs="Calibri Light"/>
        </w:rPr>
      </w:pPr>
      <w:r w:rsidRPr="00CE4327">
        <w:rPr>
          <w:rFonts w:ascii="Calibri Light" w:hAnsi="Calibri Light" w:cs="Calibri Light"/>
        </w:rPr>
        <w:t>NPLs are concentrated in the corporate sector, reflectin</w:t>
      </w:r>
      <w:r w:rsidRPr="00CE4327">
        <w:rPr>
          <w:rFonts w:ascii="Calibri Light" w:hAnsi="Calibri Light" w:cs="Calibri Light"/>
        </w:rPr>
        <w:t xml:space="preserve">g weak lending standards during </w:t>
      </w:r>
      <w:r w:rsidRPr="00CE4327">
        <w:rPr>
          <w:rFonts w:ascii="Calibri Light" w:hAnsi="Calibri Light" w:cs="Calibri Light"/>
        </w:rPr>
        <w:t>previous credit expansions and suggesting underlying financial</w:t>
      </w:r>
      <w:r w:rsidR="00CE4327">
        <w:rPr>
          <w:rFonts w:ascii="Calibri Light" w:hAnsi="Calibri Light" w:cs="Calibri Light"/>
        </w:rPr>
        <w:t xml:space="preserve"> sector vulnerabilities</w:t>
      </w:r>
      <w:r w:rsidRPr="00CE4327">
        <w:rPr>
          <w:rFonts w:ascii="Calibri Light" w:hAnsi="Calibri Light" w:cs="Calibri Light"/>
        </w:rPr>
        <w:t xml:space="preserve">. The NPL ratio of the corporate sector reached 19 percent, its </w:t>
      </w:r>
      <w:r w:rsidRPr="00CE4327">
        <w:rPr>
          <w:rFonts w:ascii="Calibri Light" w:hAnsi="Calibri Light" w:cs="Calibri Light"/>
        </w:rPr>
        <w:t>highest level, during the 2008–</w:t>
      </w:r>
      <w:r w:rsidRPr="00CE4327">
        <w:rPr>
          <w:rFonts w:ascii="Calibri Light" w:hAnsi="Calibri Light" w:cs="Calibri Light"/>
        </w:rPr>
        <w:t>09 global financial crisis. But in December 2019, the NPL ratio of the corporate sector ap</w:t>
      </w:r>
      <w:r w:rsidRPr="00CE4327">
        <w:rPr>
          <w:rFonts w:ascii="Calibri Light" w:hAnsi="Calibri Light" w:cs="Calibri Light"/>
        </w:rPr>
        <w:t xml:space="preserve">proached </w:t>
      </w:r>
      <w:r w:rsidRPr="00CE4327">
        <w:rPr>
          <w:rFonts w:ascii="Calibri Light" w:hAnsi="Calibri Light" w:cs="Calibri Light"/>
        </w:rPr>
        <w:t>18 percent again. Corporate sector NPLs are mainly concentrated</w:t>
      </w:r>
      <w:r w:rsidRPr="00CE4327">
        <w:rPr>
          <w:rFonts w:ascii="Calibri Light" w:hAnsi="Calibri Light" w:cs="Calibri Light"/>
        </w:rPr>
        <w:t xml:space="preserve"> in a few risky sectors such as </w:t>
      </w:r>
      <w:r w:rsidRPr="00CE4327">
        <w:rPr>
          <w:rFonts w:ascii="Calibri Light" w:hAnsi="Calibri Light" w:cs="Calibri Light"/>
        </w:rPr>
        <w:t xml:space="preserve">mining, manufacturing, construction, and trade, which are highly </w:t>
      </w:r>
      <w:r w:rsidRPr="00CE4327">
        <w:rPr>
          <w:rFonts w:ascii="Calibri Light" w:hAnsi="Calibri Light" w:cs="Calibri Light"/>
        </w:rPr>
        <w:t xml:space="preserve">vulnerable to a volatile mining </w:t>
      </w:r>
      <w:r w:rsidRPr="00CE4327">
        <w:rPr>
          <w:rFonts w:ascii="Calibri Light" w:hAnsi="Calibri Light" w:cs="Calibri Light"/>
        </w:rPr>
        <w:t>sector. Loan loss provisioning (LLP) remains low for many key secto</w:t>
      </w:r>
      <w:r w:rsidR="00CE4327">
        <w:rPr>
          <w:rFonts w:ascii="Calibri Light" w:hAnsi="Calibri Light" w:cs="Calibri Light"/>
        </w:rPr>
        <w:t>rs.</w:t>
      </w:r>
      <w:r w:rsidRPr="00CE4327">
        <w:rPr>
          <w:rFonts w:ascii="Calibri Light" w:hAnsi="Calibri Light" w:cs="Calibri Light"/>
        </w:rPr>
        <w:t xml:space="preserve"> The mining, construction, </w:t>
      </w:r>
      <w:r w:rsidRPr="00CE4327">
        <w:rPr>
          <w:rFonts w:ascii="Calibri Light" w:hAnsi="Calibri Light" w:cs="Calibri Light"/>
        </w:rPr>
        <w:t>trade, and real estate sectors account for over 80 percent of total NPLs, but LLP of these sector</w:t>
      </w:r>
      <w:r w:rsidRPr="00CE4327">
        <w:rPr>
          <w:rFonts w:ascii="Calibri Light" w:hAnsi="Calibri Light" w:cs="Calibri Light"/>
        </w:rPr>
        <w:t xml:space="preserve">s </w:t>
      </w:r>
      <w:r w:rsidRPr="00CE4327">
        <w:rPr>
          <w:rFonts w:ascii="Calibri Light" w:hAnsi="Calibri Light" w:cs="Calibri Light"/>
        </w:rPr>
        <w:t>ranged between 71 and 76 percent as of December 2019. Ho</w:t>
      </w:r>
      <w:r w:rsidRPr="00CE4327">
        <w:rPr>
          <w:rFonts w:ascii="Calibri Light" w:hAnsi="Calibri Light" w:cs="Calibri Light"/>
        </w:rPr>
        <w:t xml:space="preserve">wever, manufacturing sector LLP </w:t>
      </w:r>
      <w:r w:rsidRPr="00CE4327">
        <w:rPr>
          <w:rFonts w:ascii="Calibri Light" w:hAnsi="Calibri Light" w:cs="Calibri Light"/>
        </w:rPr>
        <w:t>stood at 83 percent. Meanwhile, pension loans have exhibite</w:t>
      </w:r>
      <w:r w:rsidRPr="00CE4327">
        <w:rPr>
          <w:rFonts w:ascii="Calibri Light" w:hAnsi="Calibri Light" w:cs="Calibri Light"/>
        </w:rPr>
        <w:t xml:space="preserve">d LLP equaling or exceeding 100 </w:t>
      </w:r>
      <w:r w:rsidR="00CE4327">
        <w:rPr>
          <w:rFonts w:ascii="Calibri Light" w:hAnsi="Calibri Light" w:cs="Calibri Light"/>
        </w:rPr>
        <w:t>percent.</w:t>
      </w:r>
      <w:r w:rsidRPr="00CE4327">
        <w:rPr>
          <w:rFonts w:ascii="Calibri Light" w:hAnsi="Calibri Light" w:cs="Calibri Light"/>
        </w:rPr>
        <w:t xml:space="preserve"> </w:t>
      </w:r>
    </w:p>
    <w:p w:rsidR="00ED1658" w:rsidRPr="00CE4327" w:rsidRDefault="00DB1F52" w:rsidP="00DB1F52">
      <w:pPr>
        <w:jc w:val="both"/>
        <w:rPr>
          <w:rFonts w:ascii="Calibri Light" w:hAnsi="Calibri Light" w:cs="Calibri Light"/>
        </w:rPr>
      </w:pPr>
      <w:r w:rsidRPr="00CE4327">
        <w:rPr>
          <w:rFonts w:ascii="Calibri Light" w:hAnsi="Calibri Light" w:cs="Calibri Light"/>
        </w:rPr>
        <w:t>Corporate credit has increased sharply since mid-2018 amid an economic recove</w:t>
      </w:r>
      <w:r w:rsidRPr="00CE4327">
        <w:rPr>
          <w:rFonts w:ascii="Calibri Light" w:hAnsi="Calibri Light" w:cs="Calibri Light"/>
        </w:rPr>
        <w:t xml:space="preserve">ry and the </w:t>
      </w:r>
      <w:r w:rsidRPr="00CE4327">
        <w:rPr>
          <w:rFonts w:ascii="Calibri Light" w:hAnsi="Calibri Light" w:cs="Calibri Light"/>
        </w:rPr>
        <w:t>BoM’s efforts to contain individual loans. Corporate credit</w:t>
      </w:r>
      <w:r w:rsidRPr="00CE4327">
        <w:rPr>
          <w:rFonts w:ascii="Calibri Light" w:hAnsi="Calibri Light" w:cs="Calibri Light"/>
        </w:rPr>
        <w:t xml:space="preserve"> growth to the trade and mining </w:t>
      </w:r>
      <w:r w:rsidRPr="00CE4327">
        <w:rPr>
          <w:rFonts w:ascii="Calibri Light" w:hAnsi="Calibri Light" w:cs="Calibri Light"/>
        </w:rPr>
        <w:t xml:space="preserve">sectors accelerated (16.2 and 20.2 percent, respectively) in 2019. </w:t>
      </w:r>
      <w:r w:rsidRPr="00CE4327">
        <w:rPr>
          <w:rFonts w:ascii="Calibri Light" w:hAnsi="Calibri Light" w:cs="Calibri Light"/>
        </w:rPr>
        <w:t xml:space="preserve">Although accounting for a total </w:t>
      </w:r>
      <w:r w:rsidRPr="00CE4327">
        <w:rPr>
          <w:rFonts w:ascii="Calibri Light" w:hAnsi="Calibri Light" w:cs="Calibri Light"/>
        </w:rPr>
        <w:t>of 44 percent of GDP in 2018, the mining, agriculture, and manu</w:t>
      </w:r>
      <w:r w:rsidRPr="00CE4327">
        <w:rPr>
          <w:rFonts w:ascii="Calibri Light" w:hAnsi="Calibri Light" w:cs="Calibri Light"/>
        </w:rPr>
        <w:t xml:space="preserve">facturing sectors held about 35 </w:t>
      </w:r>
      <w:r w:rsidRPr="00CE4327">
        <w:rPr>
          <w:rFonts w:ascii="Calibri Light" w:hAnsi="Calibri Light" w:cs="Calibri Light"/>
        </w:rPr>
        <w:t>percent of total corporate credit in 2019. The trade (wholesale/r</w:t>
      </w:r>
      <w:r w:rsidRPr="00CE4327">
        <w:rPr>
          <w:rFonts w:ascii="Calibri Light" w:hAnsi="Calibri Light" w:cs="Calibri Light"/>
        </w:rPr>
        <w:t xml:space="preserve">etail) and construction sectors </w:t>
      </w:r>
      <w:r w:rsidRPr="00CE4327">
        <w:rPr>
          <w:rFonts w:ascii="Calibri Light" w:hAnsi="Calibri Light" w:cs="Calibri Light"/>
        </w:rPr>
        <w:t>held 43 percent of total credit while accounting for only 13 percent of GDP.</w:t>
      </w:r>
      <w:r w:rsidRPr="00CE4327">
        <w:rPr>
          <w:rFonts w:ascii="Calibri Light" w:hAnsi="Calibri Light" w:cs="Calibri Light"/>
        </w:rPr>
        <w:t xml:space="preserve"> </w:t>
      </w:r>
      <w:r w:rsidRPr="00CE4327">
        <w:rPr>
          <w:rFonts w:ascii="Calibri Light" w:hAnsi="Calibri Light" w:cs="Calibri Light"/>
        </w:rPr>
        <w:t>Another characteristic of credit in Mongolia is its conce</w:t>
      </w:r>
      <w:r w:rsidR="00CE4327" w:rsidRPr="00CE4327">
        <w:rPr>
          <w:rFonts w:ascii="Calibri Light" w:hAnsi="Calibri Light" w:cs="Calibri Light"/>
        </w:rPr>
        <w:t xml:space="preserve">ntration in a limited number of </w:t>
      </w:r>
      <w:r w:rsidRPr="00CE4327">
        <w:rPr>
          <w:rFonts w:ascii="Calibri Light" w:hAnsi="Calibri Light" w:cs="Calibri Light"/>
        </w:rPr>
        <w:t>firms. The majority of total credit in the banking system went to o</w:t>
      </w:r>
      <w:r w:rsidR="00CE4327" w:rsidRPr="00CE4327">
        <w:rPr>
          <w:rFonts w:ascii="Calibri Light" w:hAnsi="Calibri Light" w:cs="Calibri Light"/>
        </w:rPr>
        <w:t xml:space="preserve">nly a few large companies. Only </w:t>
      </w:r>
      <w:r w:rsidRPr="00CE4327">
        <w:rPr>
          <w:rFonts w:ascii="Calibri Light" w:hAnsi="Calibri Light" w:cs="Calibri Light"/>
        </w:rPr>
        <w:t>13 percent of total corporate borrowers acquired more than 80 p</w:t>
      </w:r>
      <w:r w:rsidR="00CE4327" w:rsidRPr="00CE4327">
        <w:rPr>
          <w:rFonts w:ascii="Calibri Light" w:hAnsi="Calibri Light" w:cs="Calibri Light"/>
        </w:rPr>
        <w:t xml:space="preserve">ercent of the total outstanding </w:t>
      </w:r>
      <w:r w:rsidR="00233424">
        <w:rPr>
          <w:rFonts w:ascii="Calibri Light" w:hAnsi="Calibri Light" w:cs="Calibri Light"/>
        </w:rPr>
        <w:t>corporate loans</w:t>
      </w:r>
      <w:r w:rsidRPr="00CE4327">
        <w:rPr>
          <w:rFonts w:ascii="Calibri Light" w:hAnsi="Calibri Light" w:cs="Calibri Light"/>
        </w:rPr>
        <w:t>. Basically, corporate loans are heav</w:t>
      </w:r>
      <w:r w:rsidR="00CE4327" w:rsidRPr="00CE4327">
        <w:rPr>
          <w:rFonts w:ascii="Calibri Light" w:hAnsi="Calibri Light" w:cs="Calibri Light"/>
        </w:rPr>
        <w:t xml:space="preserve">ily concentrated in a few large </w:t>
      </w:r>
      <w:r w:rsidRPr="00CE4327">
        <w:rPr>
          <w:rFonts w:ascii="Calibri Light" w:hAnsi="Calibri Light" w:cs="Calibri Light"/>
        </w:rPr>
        <w:t>companies, which indicates serious risk of exposure to a limited num</w:t>
      </w:r>
      <w:r w:rsidR="00CE4327" w:rsidRPr="00CE4327">
        <w:rPr>
          <w:rFonts w:ascii="Calibri Light" w:hAnsi="Calibri Light" w:cs="Calibri Light"/>
        </w:rPr>
        <w:t xml:space="preserve">ber of borrowers. </w:t>
      </w:r>
      <w:r w:rsidRPr="00CE4327">
        <w:rPr>
          <w:rFonts w:ascii="Calibri Light" w:hAnsi="Calibri Light" w:cs="Calibri Light"/>
        </w:rPr>
        <w:t>Moreover, a significant majority of individual borrowers h</w:t>
      </w:r>
      <w:r w:rsidR="00CE4327" w:rsidRPr="00CE4327">
        <w:rPr>
          <w:rFonts w:ascii="Calibri Light" w:hAnsi="Calibri Light" w:cs="Calibri Light"/>
        </w:rPr>
        <w:t xml:space="preserve">ave taken more than half of the </w:t>
      </w:r>
      <w:r w:rsidRPr="00CE4327">
        <w:rPr>
          <w:rFonts w:ascii="Calibri Light" w:hAnsi="Calibri Light" w:cs="Calibri Light"/>
        </w:rPr>
        <w:t>total individual loans. Over 90 percent of the total household</w:t>
      </w:r>
      <w:r w:rsidR="00CE4327" w:rsidRPr="00CE4327">
        <w:rPr>
          <w:rFonts w:ascii="Calibri Light" w:hAnsi="Calibri Light" w:cs="Calibri Light"/>
        </w:rPr>
        <w:t xml:space="preserve"> borrowers have acquired credit </w:t>
      </w:r>
      <w:r w:rsidRPr="00CE4327">
        <w:rPr>
          <w:rFonts w:ascii="Calibri Light" w:hAnsi="Calibri Light" w:cs="Calibri Light"/>
        </w:rPr>
        <w:t>up to MNT 20 million (about US$7,500), representing about 60 p</w:t>
      </w:r>
      <w:r w:rsidR="00CE4327" w:rsidRPr="00CE4327">
        <w:rPr>
          <w:rFonts w:ascii="Calibri Light" w:hAnsi="Calibri Light" w:cs="Calibri Light"/>
        </w:rPr>
        <w:t xml:space="preserve">ercent of the total outstanding </w:t>
      </w:r>
      <w:r w:rsidRPr="00CE4327">
        <w:rPr>
          <w:rFonts w:ascii="Calibri Light" w:hAnsi="Calibri Light" w:cs="Calibri Light"/>
        </w:rPr>
        <w:t>individual loans. In contrast, only 10 percent of the individual bo</w:t>
      </w:r>
      <w:r w:rsidR="00CE4327" w:rsidRPr="00CE4327">
        <w:rPr>
          <w:rFonts w:ascii="Calibri Light" w:hAnsi="Calibri Light" w:cs="Calibri Light"/>
        </w:rPr>
        <w:t xml:space="preserve">rrowers own about 40 percent of </w:t>
      </w:r>
      <w:r w:rsidR="00233424">
        <w:rPr>
          <w:rFonts w:ascii="Calibri Light" w:hAnsi="Calibri Light" w:cs="Calibri Light"/>
        </w:rPr>
        <w:t>the loans</w:t>
      </w:r>
      <w:r w:rsidRPr="00CE4327">
        <w:rPr>
          <w:rFonts w:ascii="Calibri Light" w:hAnsi="Calibri Light" w:cs="Calibri Light"/>
        </w:rPr>
        <w:t xml:space="preserve">. </w:t>
      </w:r>
      <w:r w:rsidRPr="00CE4327">
        <w:rPr>
          <w:rFonts w:ascii="Calibri Light" w:hAnsi="Calibri Light" w:cs="Calibri Light"/>
        </w:rPr>
        <w:t>Also, only a minority of individuals own more than half of bank individual deposits, pointi</w:t>
      </w:r>
      <w:r w:rsidRPr="00CE4327">
        <w:rPr>
          <w:rFonts w:ascii="Calibri Light" w:hAnsi="Calibri Light" w:cs="Calibri Light"/>
        </w:rPr>
        <w:t xml:space="preserve">ng </w:t>
      </w:r>
      <w:r w:rsidRPr="00CE4327">
        <w:rPr>
          <w:rFonts w:ascii="Calibri Light" w:hAnsi="Calibri Light" w:cs="Calibri Light"/>
        </w:rPr>
        <w:t>to banks’ dependence on a few large depositors. In fact, on avera</w:t>
      </w:r>
      <w:r w:rsidRPr="00CE4327">
        <w:rPr>
          <w:rFonts w:ascii="Calibri Light" w:hAnsi="Calibri Light" w:cs="Calibri Light"/>
        </w:rPr>
        <w:t xml:space="preserve">ge, only 1 percent of household </w:t>
      </w:r>
      <w:r w:rsidRPr="00CE4327">
        <w:rPr>
          <w:rFonts w:ascii="Calibri Light" w:hAnsi="Calibri Light" w:cs="Calibri Light"/>
        </w:rPr>
        <w:t xml:space="preserve">depositors holds deposits exceeding MNT 20 million (US$7,500). </w:t>
      </w:r>
    </w:p>
    <w:p w:rsidR="00ED1658" w:rsidRDefault="00ED1658" w:rsidP="00692AF9">
      <w:pPr>
        <w:jc w:val="both"/>
        <w:rPr>
          <w:rFonts w:ascii="Times New Roman" w:hAnsi="Times New Roman" w:cs="Times New Roman"/>
          <w:sz w:val="20"/>
          <w:szCs w:val="20"/>
        </w:rPr>
      </w:pPr>
    </w:p>
    <w:p w:rsidR="00ED1658" w:rsidRDefault="00ED1658" w:rsidP="00692AF9">
      <w:pPr>
        <w:jc w:val="both"/>
        <w:rPr>
          <w:rFonts w:ascii="Times New Roman" w:hAnsi="Times New Roman" w:cs="Times New Roman"/>
          <w:sz w:val="20"/>
          <w:szCs w:val="20"/>
        </w:rPr>
      </w:pPr>
    </w:p>
    <w:p w:rsidR="00ED1658" w:rsidRDefault="00ED1658" w:rsidP="00692AF9">
      <w:pPr>
        <w:jc w:val="both"/>
        <w:rPr>
          <w:rFonts w:ascii="Times New Roman" w:hAnsi="Times New Roman" w:cs="Times New Roman"/>
          <w:sz w:val="20"/>
          <w:szCs w:val="20"/>
        </w:rPr>
      </w:pPr>
    </w:p>
    <w:p w:rsidR="00DE219A" w:rsidRDefault="00A755C5" w:rsidP="00692AF9">
      <w:pPr>
        <w:jc w:val="both"/>
        <w:rPr>
          <w:rFonts w:ascii="Times New Roman" w:hAnsi="Times New Roman" w:cs="Times New Roman"/>
          <w:sz w:val="20"/>
          <w:szCs w:val="20"/>
        </w:rPr>
      </w:pPr>
      <w:r>
        <w:rPr>
          <w:rFonts w:ascii="Times New Roman" w:hAnsi="Times New Roman" w:cs="Times New Roman"/>
          <w:sz w:val="20"/>
          <w:szCs w:val="20"/>
        </w:rPr>
        <w:t xml:space="preserve"> </w:t>
      </w:r>
    </w:p>
    <w:p w:rsidR="00E0611B" w:rsidRDefault="00E0611B" w:rsidP="00692AF9">
      <w:pPr>
        <w:jc w:val="both"/>
        <w:rPr>
          <w:rFonts w:ascii="Times New Roman" w:hAnsi="Times New Roman" w:cs="Times New Roman"/>
          <w:sz w:val="20"/>
          <w:szCs w:val="20"/>
        </w:rPr>
      </w:pPr>
    </w:p>
    <w:p w:rsidR="00E0611B" w:rsidRDefault="00E0611B" w:rsidP="00692AF9">
      <w:pPr>
        <w:jc w:val="both"/>
        <w:rPr>
          <w:rFonts w:ascii="Times New Roman" w:hAnsi="Times New Roman" w:cs="Times New Roman"/>
          <w:sz w:val="20"/>
          <w:szCs w:val="20"/>
        </w:rPr>
      </w:pPr>
    </w:p>
    <w:p w:rsidR="00E0611B" w:rsidRDefault="00E0611B" w:rsidP="00E0611B">
      <w:pPr>
        <w:spacing w:after="120"/>
        <w:jc w:val="both"/>
        <w:rPr>
          <w:rFonts w:ascii="Times New Roman" w:hAnsi="Times New Roman" w:cs="Times New Roman"/>
          <w:sz w:val="24"/>
          <w:szCs w:val="24"/>
        </w:rPr>
      </w:pPr>
      <w:r w:rsidRPr="00CF73F5">
        <w:rPr>
          <w:rFonts w:ascii="Times New Roman" w:hAnsi="Times New Roman" w:cs="Times New Roman"/>
          <w:sz w:val="20"/>
          <w:szCs w:val="20"/>
        </w:rPr>
        <w:drawing>
          <wp:anchor distT="0" distB="0" distL="114300" distR="114300" simplePos="0" relativeHeight="251682816" behindDoc="1" locked="0" layoutInCell="1" allowOverlap="1" wp14:anchorId="12FA2D8A" wp14:editId="22B1C40D">
            <wp:simplePos x="0" y="0"/>
            <wp:positionH relativeFrom="column">
              <wp:posOffset>-316865</wp:posOffset>
            </wp:positionH>
            <wp:positionV relativeFrom="paragraph">
              <wp:posOffset>97213</wp:posOffset>
            </wp:positionV>
            <wp:extent cx="7530465" cy="12700"/>
            <wp:effectExtent l="0" t="0" r="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30465" cy="12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 xml:space="preserve">                                                                                                  </w:t>
      </w:r>
      <w:hyperlink r:id="rId32" w:history="1">
        <w:r w:rsidRPr="00CF73F5">
          <w:rPr>
            <w:rStyle w:val="Hyperlink"/>
            <w:rFonts w:ascii="Times New Roman" w:hAnsi="Times New Roman" w:cs="Times New Roman"/>
            <w:color w:val="800000"/>
            <w:sz w:val="24"/>
            <w:szCs w:val="24"/>
          </w:rPr>
          <w:t>www.nim.mn</w:t>
        </w:r>
      </w:hyperlink>
    </w:p>
    <w:p w:rsidR="00E0611B" w:rsidRPr="00CF73F5" w:rsidRDefault="00E0611B" w:rsidP="00E0611B">
      <w:pPr>
        <w:spacing w:after="120"/>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4"/>
          <w:szCs w:val="24"/>
        </w:rPr>
        <w:t>pg. 5</w:t>
      </w:r>
    </w:p>
    <w:p w:rsidR="00397C7C" w:rsidRDefault="00E0611B" w:rsidP="00692AF9">
      <w:pPr>
        <w:jc w:val="both"/>
        <w:rPr>
          <w:rFonts w:ascii="Times New Roman" w:hAnsi="Times New Roman" w:cs="Times New Roman"/>
          <w:sz w:val="20"/>
          <w:szCs w:val="20"/>
        </w:rPr>
      </w:pPr>
      <w:r>
        <w:rPr>
          <w:rFonts w:ascii="Times New Roman" w:hAnsi="Times New Roman" w:cs="Times New Roman"/>
          <w:b/>
          <w:noProof/>
          <w:sz w:val="20"/>
          <w:szCs w:val="20"/>
        </w:rPr>
        <w:lastRenderedPageBreak/>
        <w:drawing>
          <wp:anchor distT="0" distB="0" distL="114300" distR="114300" simplePos="0" relativeHeight="251684864" behindDoc="0" locked="0" layoutInCell="1" allowOverlap="1" wp14:anchorId="57315B95" wp14:editId="1B933A33">
            <wp:simplePos x="0" y="0"/>
            <wp:positionH relativeFrom="column">
              <wp:posOffset>0</wp:posOffset>
            </wp:positionH>
            <wp:positionV relativeFrom="paragraph">
              <wp:posOffset>508</wp:posOffset>
            </wp:positionV>
            <wp:extent cx="1502410" cy="509270"/>
            <wp:effectExtent l="0" t="0" r="2540" b="5080"/>
            <wp:wrapSquare wrapText="bothSides"/>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IM logo.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02410" cy="509270"/>
                    </a:xfrm>
                    <a:prstGeom prst="rect">
                      <a:avLst/>
                    </a:prstGeom>
                  </pic:spPr>
                </pic:pic>
              </a:graphicData>
            </a:graphic>
          </wp:anchor>
        </w:drawing>
      </w:r>
    </w:p>
    <w:p w:rsidR="00397C7C" w:rsidRDefault="00397C7C" w:rsidP="00692AF9">
      <w:pPr>
        <w:jc w:val="both"/>
        <w:rPr>
          <w:rFonts w:ascii="Times New Roman" w:hAnsi="Times New Roman" w:cs="Times New Roman"/>
          <w:sz w:val="20"/>
          <w:szCs w:val="20"/>
        </w:rPr>
      </w:pPr>
    </w:p>
    <w:p w:rsidR="00D06A21" w:rsidRDefault="00D06A21" w:rsidP="00692AF9">
      <w:pPr>
        <w:jc w:val="both"/>
        <w:rPr>
          <w:rFonts w:ascii="Times New Roman" w:hAnsi="Times New Roman" w:cs="Times New Roman"/>
          <w:sz w:val="20"/>
          <w:szCs w:val="20"/>
        </w:rPr>
      </w:pPr>
    </w:p>
    <w:p w:rsidR="00E0611B" w:rsidRPr="00E0611B" w:rsidRDefault="00911D06" w:rsidP="00A1107A">
      <w:pPr>
        <w:jc w:val="both"/>
        <w:rPr>
          <w:rFonts w:asciiTheme="majorHAnsi" w:hAnsiTheme="majorHAnsi" w:cstheme="majorHAnsi"/>
          <w:b/>
          <w:color w:val="4A0419"/>
          <w:sz w:val="31"/>
          <w:szCs w:val="31"/>
          <w:lang w:val="mn-MN"/>
        </w:rPr>
      </w:pPr>
      <w:r w:rsidRPr="00E0611B">
        <w:rPr>
          <w:rFonts w:asciiTheme="majorHAnsi" w:hAnsiTheme="majorHAnsi" w:cstheme="majorHAnsi"/>
          <w:b/>
          <w:color w:val="4A0419"/>
          <w:sz w:val="31"/>
          <w:szCs w:val="31"/>
        </w:rPr>
        <w:t>MONGOLIA MAJOR EVENTS</w:t>
      </w:r>
      <w:r w:rsidR="00A1107A" w:rsidRPr="00E0611B">
        <w:rPr>
          <w:rFonts w:asciiTheme="majorHAnsi" w:hAnsiTheme="majorHAnsi" w:cstheme="majorHAnsi"/>
          <w:b/>
          <w:color w:val="4A0419"/>
          <w:sz w:val="31"/>
          <w:szCs w:val="31"/>
        </w:rPr>
        <w:t xml:space="preserve"> 2019</w:t>
      </w:r>
      <w:r w:rsidR="00A1107A" w:rsidRPr="00E0611B">
        <w:rPr>
          <w:rFonts w:asciiTheme="majorHAnsi" w:hAnsiTheme="majorHAnsi" w:cstheme="majorHAnsi"/>
          <w:b/>
          <w:color w:val="4A0419"/>
          <w:sz w:val="31"/>
          <w:szCs w:val="31"/>
          <w:lang w:val="mn-MN"/>
        </w:rPr>
        <w:t>:</w:t>
      </w:r>
    </w:p>
    <w:p w:rsidR="00A1107A" w:rsidRPr="00E0611B" w:rsidRDefault="001462B0" w:rsidP="00A1107A">
      <w:pPr>
        <w:jc w:val="both"/>
        <w:rPr>
          <w:rFonts w:ascii="Calibri Light" w:hAnsi="Calibri Light" w:cs="Calibri Light"/>
          <w:b/>
          <w:color w:val="800000"/>
          <w:u w:val="single"/>
        </w:rPr>
      </w:pPr>
      <w:r>
        <w:rPr>
          <w:rFonts w:ascii="Calibri Light" w:hAnsi="Calibri Light" w:cs="Calibri Light"/>
          <w:noProof/>
        </w:rPr>
        <w:drawing>
          <wp:anchor distT="0" distB="0" distL="114300" distR="114300" simplePos="0" relativeHeight="251685888" behindDoc="0" locked="0" layoutInCell="1" allowOverlap="1" wp14:anchorId="5FE87248" wp14:editId="737516D6">
            <wp:simplePos x="0" y="0"/>
            <wp:positionH relativeFrom="column">
              <wp:posOffset>4834755</wp:posOffset>
            </wp:positionH>
            <wp:positionV relativeFrom="paragraph">
              <wp:posOffset>119689</wp:posOffset>
            </wp:positionV>
            <wp:extent cx="1978025" cy="1318895"/>
            <wp:effectExtent l="0" t="0" r="3175" b="0"/>
            <wp:wrapSquare wrapText="bothSides"/>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lme1-1.jpg"/>
                    <pic:cNvPicPr/>
                  </pic:nvPicPr>
                  <pic:blipFill>
                    <a:blip r:embed="rId33">
                      <a:extLst>
                        <a:ext uri="{28A0092B-C50C-407E-A947-70E740481C1C}">
                          <a14:useLocalDpi xmlns:a14="http://schemas.microsoft.com/office/drawing/2010/main" val="0"/>
                        </a:ext>
                      </a:extLst>
                    </a:blip>
                    <a:stretch>
                      <a:fillRect/>
                    </a:stretch>
                  </pic:blipFill>
                  <pic:spPr>
                    <a:xfrm>
                      <a:off x="0" y="0"/>
                      <a:ext cx="1978025" cy="1318895"/>
                    </a:xfrm>
                    <a:prstGeom prst="rect">
                      <a:avLst/>
                    </a:prstGeom>
                  </pic:spPr>
                </pic:pic>
              </a:graphicData>
            </a:graphic>
            <wp14:sizeRelH relativeFrom="page">
              <wp14:pctWidth>0</wp14:pctWidth>
            </wp14:sizeRelH>
            <wp14:sizeRelV relativeFrom="page">
              <wp14:pctHeight>0</wp14:pctHeight>
            </wp14:sizeRelV>
          </wp:anchor>
        </w:drawing>
      </w:r>
      <w:r w:rsidR="00A1107A" w:rsidRPr="00E0611B">
        <w:rPr>
          <w:rFonts w:ascii="Calibri Light" w:hAnsi="Calibri Light" w:cs="Calibri Light"/>
          <w:b/>
          <w:color w:val="800000"/>
          <w:u w:val="single"/>
        </w:rPr>
        <w:t>The First Mongolian Company to become a member in London Metal Exchange</w:t>
      </w:r>
    </w:p>
    <w:p w:rsidR="00A1107A" w:rsidRPr="00E0611B" w:rsidRDefault="00A1107A" w:rsidP="00A1107A">
      <w:pPr>
        <w:jc w:val="both"/>
        <w:rPr>
          <w:rFonts w:ascii="Calibri Light" w:hAnsi="Calibri Light" w:cs="Calibri Light"/>
        </w:rPr>
      </w:pPr>
      <w:r w:rsidRPr="00E0611B">
        <w:rPr>
          <w:rFonts w:ascii="Calibri Light" w:hAnsi="Calibri Light" w:cs="Calibri Light"/>
        </w:rPr>
        <w:t>Achit Ikht LLC of Mongolia has become a member of the London Metal Exchange (LME).</w:t>
      </w:r>
      <w:r w:rsidR="001462B0">
        <w:rPr>
          <w:rFonts w:ascii="Calibri Light" w:hAnsi="Calibri Light" w:cs="Calibri Light"/>
        </w:rPr>
        <w:t xml:space="preserve"> </w:t>
      </w:r>
      <w:r w:rsidRPr="00E0611B">
        <w:rPr>
          <w:rFonts w:ascii="Calibri Light" w:hAnsi="Calibri Light" w:cs="Calibri Light"/>
        </w:rPr>
        <w:t>Particularly, on February 6, LME announced on its official website that the company had been approved for membership of LME pursuant to its notice 19/024 of January 23.</w:t>
      </w:r>
      <w:r w:rsidR="001462B0">
        <w:rPr>
          <w:rFonts w:ascii="Calibri Light" w:hAnsi="Calibri Light" w:cs="Calibri Light"/>
        </w:rPr>
        <w:t xml:space="preserve"> </w:t>
      </w:r>
      <w:r w:rsidRPr="00E0611B">
        <w:rPr>
          <w:rFonts w:ascii="Calibri Light" w:hAnsi="Calibri Light" w:cs="Calibri Light"/>
        </w:rPr>
        <w:t>Achit Ikht LLC operates Mongolia’s first modern hydrometallurgical plant, producing copper cathode and last year, the company issued preference shares to its own and Erdenet Mining Corporation’s employees.</w:t>
      </w:r>
      <w:r w:rsidR="001462B0">
        <w:rPr>
          <w:rFonts w:ascii="Calibri Light" w:hAnsi="Calibri Light" w:cs="Calibri Light"/>
        </w:rPr>
        <w:t xml:space="preserve"> </w:t>
      </w:r>
    </w:p>
    <w:p w:rsidR="0056712E" w:rsidRDefault="0056712E" w:rsidP="00A1107A">
      <w:pPr>
        <w:jc w:val="both"/>
        <w:rPr>
          <w:rFonts w:ascii="Calibri Light" w:hAnsi="Calibri Light" w:cs="Calibri Light"/>
          <w:b/>
          <w:color w:val="800000"/>
          <w:u w:val="single"/>
        </w:rPr>
      </w:pPr>
    </w:p>
    <w:p w:rsidR="00A1107A" w:rsidRPr="007B162F" w:rsidRDefault="0056712E" w:rsidP="00A1107A">
      <w:pPr>
        <w:jc w:val="both"/>
        <w:rPr>
          <w:rFonts w:ascii="Calibri Light" w:hAnsi="Calibri Light" w:cs="Calibri Light"/>
          <w:b/>
          <w:color w:val="800000"/>
          <w:u w:val="single"/>
        </w:rPr>
      </w:pPr>
      <w:r>
        <w:rPr>
          <w:rFonts w:ascii="Calibri Light" w:hAnsi="Calibri Light" w:cs="Calibri Light"/>
          <w:noProof/>
        </w:rPr>
        <w:drawing>
          <wp:anchor distT="0" distB="0" distL="114300" distR="114300" simplePos="0" relativeHeight="251686912" behindDoc="0" locked="0" layoutInCell="1" allowOverlap="1" wp14:anchorId="6E6BC5F5" wp14:editId="37964788">
            <wp:simplePos x="0" y="0"/>
            <wp:positionH relativeFrom="column">
              <wp:posOffset>3810</wp:posOffset>
            </wp:positionH>
            <wp:positionV relativeFrom="paragraph">
              <wp:posOffset>286385</wp:posOffset>
            </wp:positionV>
            <wp:extent cx="1959610" cy="1148715"/>
            <wp:effectExtent l="0" t="0" r="2540" b="0"/>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5b498fb15379ff23b46728cd.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959610" cy="1148715"/>
                    </a:xfrm>
                    <a:prstGeom prst="rect">
                      <a:avLst/>
                    </a:prstGeom>
                  </pic:spPr>
                </pic:pic>
              </a:graphicData>
            </a:graphic>
            <wp14:sizeRelH relativeFrom="page">
              <wp14:pctWidth>0</wp14:pctWidth>
            </wp14:sizeRelH>
            <wp14:sizeRelV relativeFrom="page">
              <wp14:pctHeight>0</wp14:pctHeight>
            </wp14:sizeRelV>
          </wp:anchor>
        </w:drawing>
      </w:r>
      <w:r w:rsidR="00A1107A" w:rsidRPr="007B162F">
        <w:rPr>
          <w:rFonts w:ascii="Calibri Light" w:hAnsi="Calibri Light" w:cs="Calibri Light"/>
          <w:b/>
          <w:color w:val="800000"/>
          <w:u w:val="single"/>
        </w:rPr>
        <w:t>Fitch rates Mongolian Mining Corporation first-time ‘B’</w:t>
      </w:r>
    </w:p>
    <w:p w:rsidR="00A1107A" w:rsidRPr="00E0611B" w:rsidRDefault="00A1107A" w:rsidP="00A1107A">
      <w:pPr>
        <w:jc w:val="both"/>
        <w:rPr>
          <w:rFonts w:ascii="Calibri Light" w:hAnsi="Calibri Light" w:cs="Calibri Light"/>
        </w:rPr>
      </w:pPr>
      <w:r w:rsidRPr="00E0611B">
        <w:rPr>
          <w:rFonts w:ascii="Calibri Light" w:hAnsi="Calibri Light" w:cs="Calibri Light"/>
        </w:rPr>
        <w:t>Fitch Ratings has assigned Mongolia-based coal producer Mongolian Mining Corporation (MMC) a Long-Term Foreign-Currency Issuer Default Rating (IDR) of 'B'. The Outlook is Stable. Fitch has also assigned a 'B (EXP)' expected rating with expected Recovery Rating of 'RR4' to MMC's proposed US dollar-denominated senior notes.</w:t>
      </w:r>
      <w:r w:rsidR="0056712E">
        <w:rPr>
          <w:rFonts w:ascii="Calibri Light" w:hAnsi="Calibri Light" w:cs="Calibri Light"/>
        </w:rPr>
        <w:t xml:space="preserve"> </w:t>
      </w:r>
      <w:r w:rsidRPr="00E0611B">
        <w:rPr>
          <w:rFonts w:ascii="Calibri Light" w:hAnsi="Calibri Light" w:cs="Calibri Light"/>
        </w:rPr>
        <w:t xml:space="preserve">MMC's rating is constrained by its small scale, single-product focus and limited cost competitiveness outside of northern China. However, MMC has flexibility in capex, which should give it sufficient buffer to continue generating free cash flows during a coal price downturn. </w:t>
      </w:r>
      <w:r w:rsidR="0056712E">
        <w:rPr>
          <w:rFonts w:ascii="Calibri Light" w:hAnsi="Calibri Light" w:cs="Calibri Light"/>
        </w:rPr>
        <w:t xml:space="preserve"> </w:t>
      </w:r>
      <w:r w:rsidRPr="00E0611B">
        <w:rPr>
          <w:rFonts w:ascii="Calibri Light" w:hAnsi="Calibri Light" w:cs="Calibri Light"/>
        </w:rPr>
        <w:t xml:space="preserve">The proposed notes will be co-issued by MMC and </w:t>
      </w:r>
      <w:proofErr w:type="gramStart"/>
      <w:r w:rsidRPr="00E0611B">
        <w:rPr>
          <w:rFonts w:ascii="Calibri Light" w:hAnsi="Calibri Light" w:cs="Calibri Light"/>
        </w:rPr>
        <w:t>its</w:t>
      </w:r>
      <w:proofErr w:type="gramEnd"/>
      <w:r w:rsidRPr="00E0611B">
        <w:rPr>
          <w:rFonts w:ascii="Calibri Light" w:hAnsi="Calibri Light" w:cs="Calibri Light"/>
        </w:rPr>
        <w:t xml:space="preserve"> wholly owned-subsidiary, Energy Resources LLC, and guaranteed by most of its operating subsidiaries. The notes will constitute senior unsecured obligations of MMC as they represent the company's unconditional and irrevocable obligations. MMC intends to use the net proceeds from the proposed note issuance to refinance its existing secured notes and part of its perpetual notes. Concurrently, the company expects to fully repay the senior secured loan with cash generated from its Baruun Naran mine operations. The final rating on the proposed notes is subject to the receipt of final documentation conforming to the information already received.</w:t>
      </w:r>
    </w:p>
    <w:p w:rsidR="0056712E" w:rsidRDefault="0056712E" w:rsidP="00A1107A">
      <w:pPr>
        <w:jc w:val="both"/>
        <w:rPr>
          <w:rFonts w:ascii="Calibri Light" w:hAnsi="Calibri Light" w:cs="Calibri Light"/>
          <w:b/>
          <w:color w:val="800000"/>
          <w:u w:val="single"/>
        </w:rPr>
      </w:pPr>
    </w:p>
    <w:p w:rsidR="00A1107A" w:rsidRPr="007B162F" w:rsidRDefault="00A1107A" w:rsidP="00A1107A">
      <w:pPr>
        <w:jc w:val="both"/>
        <w:rPr>
          <w:rFonts w:ascii="Calibri Light" w:hAnsi="Calibri Light" w:cs="Calibri Light"/>
          <w:b/>
          <w:color w:val="800000"/>
          <w:u w:val="single"/>
        </w:rPr>
      </w:pPr>
      <w:r w:rsidRPr="007B162F">
        <w:rPr>
          <w:rFonts w:ascii="Calibri Light" w:hAnsi="Calibri Light" w:cs="Calibri Light"/>
          <w:b/>
          <w:color w:val="800000"/>
          <w:u w:val="single"/>
        </w:rPr>
        <w:t>General Financing Agreement signed with EBRD</w:t>
      </w:r>
    </w:p>
    <w:p w:rsidR="00A1107A" w:rsidRPr="00E0611B" w:rsidRDefault="00A1107A" w:rsidP="00A1107A">
      <w:pPr>
        <w:jc w:val="both"/>
        <w:rPr>
          <w:rFonts w:ascii="Calibri Light" w:hAnsi="Calibri Light" w:cs="Calibri Light"/>
        </w:rPr>
      </w:pPr>
      <w:r w:rsidRPr="00E0611B">
        <w:rPr>
          <w:rFonts w:ascii="Calibri Light" w:hAnsi="Calibri Light" w:cs="Calibri Light"/>
        </w:rPr>
        <w:t>General Financing Agreement between the Government of Mongolia and the European Bank for Reconstruction and Development (EBRD) was signed by Minister of Finance Ch.Khurelbaatar and Head of Mongolia Unit at the EBRD Irina Kravchenko.</w:t>
      </w:r>
      <w:r w:rsidR="0056712E">
        <w:rPr>
          <w:rFonts w:ascii="Calibri Light" w:hAnsi="Calibri Light" w:cs="Calibri Light"/>
        </w:rPr>
        <w:t xml:space="preserve"> </w:t>
      </w:r>
      <w:r w:rsidRPr="00E0611B">
        <w:rPr>
          <w:rFonts w:ascii="Calibri Light" w:hAnsi="Calibri Light" w:cs="Calibri Light"/>
        </w:rPr>
        <w:t xml:space="preserve">By signing the agreement, the EBRD will grant USD 300 million credit financing to the Mongolian Government for the implementation of projects and programs in road and infrastructure sectors. The sides agreed to finance the project on construction of additional two-lane road in route Ulaanbaatar-Darkhan at the first stage. </w:t>
      </w:r>
    </w:p>
    <w:p w:rsidR="0056712E" w:rsidRDefault="0056712E" w:rsidP="00A1107A">
      <w:pPr>
        <w:jc w:val="both"/>
        <w:rPr>
          <w:rFonts w:ascii="Calibri Light" w:hAnsi="Calibri Light" w:cs="Calibri Light"/>
          <w:b/>
          <w:color w:val="800000"/>
          <w:u w:val="single"/>
        </w:rPr>
      </w:pPr>
    </w:p>
    <w:p w:rsidR="0056712E" w:rsidRDefault="0056712E" w:rsidP="00A1107A">
      <w:pPr>
        <w:jc w:val="both"/>
        <w:rPr>
          <w:rFonts w:ascii="Calibri Light" w:hAnsi="Calibri Light" w:cs="Calibri Light"/>
          <w:b/>
          <w:color w:val="800000"/>
          <w:u w:val="single"/>
        </w:rPr>
      </w:pPr>
    </w:p>
    <w:p w:rsidR="0056712E" w:rsidRDefault="0056712E" w:rsidP="00A1107A">
      <w:pPr>
        <w:jc w:val="both"/>
        <w:rPr>
          <w:rFonts w:ascii="Calibri Light" w:hAnsi="Calibri Light" w:cs="Calibri Light"/>
          <w:b/>
          <w:color w:val="800000"/>
          <w:u w:val="single"/>
        </w:rPr>
      </w:pPr>
    </w:p>
    <w:p w:rsidR="0056712E" w:rsidRDefault="0056712E" w:rsidP="00A1107A">
      <w:pPr>
        <w:jc w:val="both"/>
        <w:rPr>
          <w:rFonts w:ascii="Calibri Light" w:hAnsi="Calibri Light" w:cs="Calibri Light"/>
          <w:b/>
          <w:color w:val="800000"/>
          <w:u w:val="single"/>
        </w:rPr>
      </w:pPr>
    </w:p>
    <w:p w:rsidR="0056712E" w:rsidRDefault="0056712E" w:rsidP="0056712E">
      <w:pPr>
        <w:spacing w:after="120"/>
        <w:jc w:val="both"/>
        <w:rPr>
          <w:rFonts w:ascii="Times New Roman" w:hAnsi="Times New Roman" w:cs="Times New Roman"/>
          <w:sz w:val="24"/>
          <w:szCs w:val="24"/>
        </w:rPr>
      </w:pPr>
      <w:r w:rsidRPr="00CF73F5">
        <w:rPr>
          <w:rFonts w:ascii="Times New Roman" w:hAnsi="Times New Roman" w:cs="Times New Roman"/>
          <w:sz w:val="20"/>
          <w:szCs w:val="20"/>
        </w:rPr>
        <w:drawing>
          <wp:anchor distT="0" distB="0" distL="114300" distR="114300" simplePos="0" relativeHeight="251688960" behindDoc="1" locked="0" layoutInCell="1" allowOverlap="1" wp14:anchorId="5D23A320" wp14:editId="3B35EE86">
            <wp:simplePos x="0" y="0"/>
            <wp:positionH relativeFrom="column">
              <wp:posOffset>-316865</wp:posOffset>
            </wp:positionH>
            <wp:positionV relativeFrom="paragraph">
              <wp:posOffset>97213</wp:posOffset>
            </wp:positionV>
            <wp:extent cx="7530465" cy="12700"/>
            <wp:effectExtent l="0" t="0" r="0" b="635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30465" cy="12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 xml:space="preserve">                                                                                                  </w:t>
      </w:r>
      <w:hyperlink r:id="rId35" w:history="1">
        <w:r w:rsidRPr="00CF73F5">
          <w:rPr>
            <w:rStyle w:val="Hyperlink"/>
            <w:rFonts w:ascii="Times New Roman" w:hAnsi="Times New Roman" w:cs="Times New Roman"/>
            <w:color w:val="800000"/>
            <w:sz w:val="24"/>
            <w:szCs w:val="24"/>
          </w:rPr>
          <w:t>www.nim.mn</w:t>
        </w:r>
      </w:hyperlink>
    </w:p>
    <w:p w:rsidR="0056712E" w:rsidRPr="00CF73F5" w:rsidRDefault="0056712E" w:rsidP="0056712E">
      <w:pPr>
        <w:spacing w:after="120"/>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4"/>
          <w:szCs w:val="24"/>
        </w:rPr>
        <w:t>pg. 6</w:t>
      </w:r>
    </w:p>
    <w:p w:rsidR="0056712E" w:rsidRDefault="0056712E" w:rsidP="00A1107A">
      <w:pPr>
        <w:jc w:val="both"/>
        <w:rPr>
          <w:rFonts w:ascii="Calibri Light" w:hAnsi="Calibri Light" w:cs="Calibri Light"/>
          <w:b/>
          <w:color w:val="800000"/>
          <w:u w:val="single"/>
        </w:rPr>
      </w:pPr>
    </w:p>
    <w:p w:rsidR="0056712E" w:rsidRDefault="0056712E" w:rsidP="00A1107A">
      <w:pPr>
        <w:jc w:val="both"/>
        <w:rPr>
          <w:rFonts w:ascii="Calibri Light" w:hAnsi="Calibri Light" w:cs="Calibri Light"/>
          <w:b/>
          <w:color w:val="800000"/>
          <w:u w:val="single"/>
        </w:rPr>
      </w:pPr>
      <w:r>
        <w:rPr>
          <w:rFonts w:ascii="Times New Roman" w:hAnsi="Times New Roman" w:cs="Times New Roman"/>
          <w:b/>
          <w:noProof/>
          <w:sz w:val="20"/>
          <w:szCs w:val="20"/>
        </w:rPr>
        <w:lastRenderedPageBreak/>
        <w:drawing>
          <wp:anchor distT="0" distB="0" distL="114300" distR="114300" simplePos="0" relativeHeight="251691008" behindDoc="0" locked="0" layoutInCell="1" allowOverlap="1" wp14:anchorId="312CCF06" wp14:editId="1F0EE3E3">
            <wp:simplePos x="0" y="0"/>
            <wp:positionH relativeFrom="column">
              <wp:posOffset>0</wp:posOffset>
            </wp:positionH>
            <wp:positionV relativeFrom="paragraph">
              <wp:posOffset>163</wp:posOffset>
            </wp:positionV>
            <wp:extent cx="1502410" cy="509270"/>
            <wp:effectExtent l="0" t="0" r="2540" b="5080"/>
            <wp:wrapSquare wrapText="bothSides"/>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IM logo.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02410" cy="509270"/>
                    </a:xfrm>
                    <a:prstGeom prst="rect">
                      <a:avLst/>
                    </a:prstGeom>
                  </pic:spPr>
                </pic:pic>
              </a:graphicData>
            </a:graphic>
          </wp:anchor>
        </w:drawing>
      </w:r>
    </w:p>
    <w:p w:rsidR="0056712E" w:rsidRDefault="0056712E" w:rsidP="0056712E">
      <w:pPr>
        <w:spacing w:line="480" w:lineRule="auto"/>
        <w:jc w:val="both"/>
        <w:rPr>
          <w:rFonts w:ascii="Calibri Light" w:hAnsi="Calibri Light" w:cs="Calibri Light"/>
          <w:b/>
          <w:color w:val="800000"/>
          <w:u w:val="single"/>
        </w:rPr>
      </w:pPr>
    </w:p>
    <w:p w:rsidR="00A1107A" w:rsidRPr="007B162F" w:rsidRDefault="0056712E" w:rsidP="00A1107A">
      <w:pPr>
        <w:jc w:val="both"/>
        <w:rPr>
          <w:rFonts w:ascii="Calibri Light" w:hAnsi="Calibri Light" w:cs="Calibri Light"/>
          <w:b/>
          <w:color w:val="800000"/>
          <w:u w:val="single"/>
        </w:rPr>
      </w:pPr>
      <w:r>
        <w:rPr>
          <w:rFonts w:ascii="Calibri Light" w:hAnsi="Calibri Light" w:cs="Calibri Light"/>
          <w:noProof/>
        </w:rPr>
        <w:drawing>
          <wp:anchor distT="0" distB="0" distL="114300" distR="114300" simplePos="0" relativeHeight="251692032" behindDoc="0" locked="0" layoutInCell="1" allowOverlap="1" wp14:anchorId="31218DCB" wp14:editId="6F4980E8">
            <wp:simplePos x="0" y="0"/>
            <wp:positionH relativeFrom="column">
              <wp:posOffset>4244037</wp:posOffset>
            </wp:positionH>
            <wp:positionV relativeFrom="paragraph">
              <wp:posOffset>281940</wp:posOffset>
            </wp:positionV>
            <wp:extent cx="2589530" cy="849630"/>
            <wp:effectExtent l="0" t="0" r="1270" b="7620"/>
            <wp:wrapSquare wrapText="bothSides"/>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unnamed.jpg"/>
                    <pic:cNvPicPr/>
                  </pic:nvPicPr>
                  <pic:blipFill>
                    <a:blip r:embed="rId36">
                      <a:extLst>
                        <a:ext uri="{28A0092B-C50C-407E-A947-70E740481C1C}">
                          <a14:useLocalDpi xmlns:a14="http://schemas.microsoft.com/office/drawing/2010/main" val="0"/>
                        </a:ext>
                      </a:extLst>
                    </a:blip>
                    <a:stretch>
                      <a:fillRect/>
                    </a:stretch>
                  </pic:blipFill>
                  <pic:spPr>
                    <a:xfrm>
                      <a:off x="0" y="0"/>
                      <a:ext cx="2589530" cy="849630"/>
                    </a:xfrm>
                    <a:prstGeom prst="rect">
                      <a:avLst/>
                    </a:prstGeom>
                  </pic:spPr>
                </pic:pic>
              </a:graphicData>
            </a:graphic>
            <wp14:sizeRelH relativeFrom="page">
              <wp14:pctWidth>0</wp14:pctWidth>
            </wp14:sizeRelH>
            <wp14:sizeRelV relativeFrom="page">
              <wp14:pctHeight>0</wp14:pctHeight>
            </wp14:sizeRelV>
          </wp:anchor>
        </w:drawing>
      </w:r>
      <w:r w:rsidR="00A1107A" w:rsidRPr="007B162F">
        <w:rPr>
          <w:rFonts w:ascii="Calibri Light" w:hAnsi="Calibri Light" w:cs="Calibri Light"/>
          <w:b/>
          <w:color w:val="800000"/>
          <w:u w:val="single"/>
        </w:rPr>
        <w:t>The Brazil-Mongolia Chamber of Commerce launched</w:t>
      </w:r>
    </w:p>
    <w:p w:rsidR="006909B6" w:rsidRPr="006909B6" w:rsidRDefault="00A1107A" w:rsidP="00A1107A">
      <w:pPr>
        <w:jc w:val="both"/>
        <w:rPr>
          <w:rFonts w:ascii="Calibri Light" w:hAnsi="Calibri Light" w:cs="Calibri Light"/>
        </w:rPr>
      </w:pPr>
      <w:r w:rsidRPr="00E0611B">
        <w:rPr>
          <w:rFonts w:ascii="Calibri Light" w:hAnsi="Calibri Light" w:cs="Calibri Light"/>
        </w:rPr>
        <w:t>The Brazil-Mongolia Chamber of Commerce (BMCC) was officially registered on June 27 to start operating in the country. With a team of six members plus advisors, the BMCC’s mission is to promote trade and investment activities between Brazil and Mongolia, and to assist on the development of closer ties connecting the two nations’ business communities.</w:t>
      </w:r>
      <w:r w:rsidR="0056712E">
        <w:rPr>
          <w:rFonts w:ascii="Calibri Light" w:hAnsi="Calibri Light" w:cs="Calibri Light"/>
        </w:rPr>
        <w:t xml:space="preserve"> </w:t>
      </w:r>
      <w:r w:rsidRPr="00E0611B">
        <w:rPr>
          <w:rFonts w:ascii="Calibri Light" w:hAnsi="Calibri Light" w:cs="Calibri Light"/>
        </w:rPr>
        <w:t>The opportunity the CEO refers to is of creating an organization that could represent and link both countries, given the great increase their networking has achieved in Mongolia making it possible to strengthen the plans of the Chamber to be created, through the support of entrepreneurs and Government agents from both nationalities.</w:t>
      </w:r>
      <w:r w:rsidR="0056712E">
        <w:rPr>
          <w:rFonts w:ascii="Calibri Light" w:hAnsi="Calibri Light" w:cs="Calibri Light"/>
        </w:rPr>
        <w:t xml:space="preserve"> </w:t>
      </w:r>
      <w:r w:rsidRPr="00E0611B">
        <w:rPr>
          <w:rFonts w:ascii="Calibri Light" w:hAnsi="Calibri Light" w:cs="Calibri Light"/>
        </w:rPr>
        <w:t>When it comes to the contributions the BMCC can bring, Uchoa believes it will boost the trade potential of Brazil and Mongolia, including in the areas of mining and farming where both countries have great potential. He added that “this can result in several business possibilities of technology exchange and good practices. Furthermore, our Chamber also represents the first step towards creating a future local organization to incentive trade relations with other Latin American countries.”</w:t>
      </w:r>
    </w:p>
    <w:p w:rsidR="00A1107A" w:rsidRPr="007B162F" w:rsidRDefault="00A1107A" w:rsidP="00A1107A">
      <w:pPr>
        <w:jc w:val="both"/>
        <w:rPr>
          <w:rFonts w:ascii="Calibri Light" w:hAnsi="Calibri Light" w:cs="Calibri Light"/>
          <w:b/>
          <w:color w:val="800000"/>
          <w:u w:val="single"/>
        </w:rPr>
      </w:pPr>
      <w:r w:rsidRPr="007B162F">
        <w:rPr>
          <w:rFonts w:ascii="Calibri Light" w:hAnsi="Calibri Light" w:cs="Calibri Light"/>
          <w:b/>
          <w:color w:val="800000"/>
          <w:u w:val="single"/>
        </w:rPr>
        <w:t>Income from mining sector increases by 24 percent</w:t>
      </w:r>
    </w:p>
    <w:p w:rsidR="00A1107A" w:rsidRPr="00E0611B" w:rsidRDefault="00A1107A" w:rsidP="00A1107A">
      <w:pPr>
        <w:jc w:val="both"/>
        <w:rPr>
          <w:rFonts w:ascii="Calibri Light" w:hAnsi="Calibri Light" w:cs="Calibri Light"/>
        </w:rPr>
      </w:pPr>
      <w:r w:rsidRPr="00E0611B">
        <w:rPr>
          <w:rFonts w:ascii="Calibri Light" w:hAnsi="Calibri Light" w:cs="Calibri Light"/>
        </w:rPr>
        <w:t>The Ministry of Mining and Heavy Industry accumulated MNT 1.7 trillion billion to the state budget as taxes, fees and royalties. MNT 22.2 billion has come from gold mining, MNT 788.7 billion--from coal, MNT 53.6 billion -- zinc, MNT 723.1 billion --copper, MNT 14.5 billion --iron, MNT 19 billion --fluorspar and MNT 41 billion from others.</w:t>
      </w:r>
      <w:r w:rsidR="006909B6">
        <w:rPr>
          <w:rFonts w:ascii="Calibri Light" w:hAnsi="Calibri Light" w:cs="Calibri Light"/>
        </w:rPr>
        <w:t xml:space="preserve">  </w:t>
      </w:r>
      <w:r w:rsidRPr="00E0611B">
        <w:rPr>
          <w:rFonts w:ascii="Calibri Light" w:hAnsi="Calibri Light" w:cs="Calibri Light"/>
        </w:rPr>
        <w:t>Against the same period of the previous year, the income from major commodities increased by MNT 321.3 billion or 24 percent; incomes from coal extraction increased by MNT 230.4 billion (41.3 percent), copper--by MNT 97.9 billion (15.7 percent), iron—by MNT 5.1 billion (53.8 percent) and fluorspar --by MNT 9.3 billion (96.9 percent).</w:t>
      </w:r>
      <w:r w:rsidR="006909B6">
        <w:rPr>
          <w:rFonts w:ascii="Calibri Light" w:hAnsi="Calibri Light" w:cs="Calibri Light"/>
        </w:rPr>
        <w:t xml:space="preserve"> </w:t>
      </w:r>
      <w:r w:rsidRPr="00E0611B">
        <w:rPr>
          <w:rFonts w:ascii="Calibri Light" w:hAnsi="Calibri Light" w:cs="Calibri Light"/>
        </w:rPr>
        <w:t>In Mongolia, a total of 8.15 million barrel or 1.1 million tons of oil is planned to be extracted and exported, with accumulation of MNT335.6 billion to the State Budget.</w:t>
      </w:r>
      <w:r w:rsidR="006909B6">
        <w:rPr>
          <w:rFonts w:ascii="Calibri Light" w:hAnsi="Calibri Light" w:cs="Calibri Light"/>
        </w:rPr>
        <w:t xml:space="preserve"> </w:t>
      </w:r>
      <w:r w:rsidRPr="00E0611B">
        <w:rPr>
          <w:rFonts w:ascii="Calibri Light" w:hAnsi="Calibri Light" w:cs="Calibri Light"/>
        </w:rPr>
        <w:t>Also, there are registered 2889 exploration and mining licenses of mineral resources throughout the country.</w:t>
      </w:r>
    </w:p>
    <w:p w:rsidR="00A1107A" w:rsidRPr="007B162F" w:rsidRDefault="006909B6" w:rsidP="00A1107A">
      <w:pPr>
        <w:jc w:val="both"/>
        <w:rPr>
          <w:rFonts w:ascii="Calibri Light" w:hAnsi="Calibri Light" w:cs="Calibri Light"/>
          <w:b/>
          <w:color w:val="800000"/>
          <w:u w:val="single"/>
        </w:rPr>
      </w:pPr>
      <w:r>
        <w:rPr>
          <w:rFonts w:ascii="Calibri Light" w:hAnsi="Calibri Light" w:cs="Calibri Light"/>
          <w:noProof/>
        </w:rPr>
        <w:drawing>
          <wp:anchor distT="0" distB="0" distL="114300" distR="114300" simplePos="0" relativeHeight="251693056" behindDoc="0" locked="0" layoutInCell="1" allowOverlap="1" wp14:anchorId="7642DD5A" wp14:editId="7E32CE96">
            <wp:simplePos x="0" y="0"/>
            <wp:positionH relativeFrom="column">
              <wp:posOffset>3810</wp:posOffset>
            </wp:positionH>
            <wp:positionV relativeFrom="paragraph">
              <wp:posOffset>282575</wp:posOffset>
            </wp:positionV>
            <wp:extent cx="2463800" cy="752475"/>
            <wp:effectExtent l="0" t="0" r="0" b="9525"/>
            <wp:wrapSquare wrapText="bothSides"/>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download.png"/>
                    <pic:cNvPicPr/>
                  </pic:nvPicPr>
                  <pic:blipFill>
                    <a:blip r:embed="rId37">
                      <a:extLst>
                        <a:ext uri="{28A0092B-C50C-407E-A947-70E740481C1C}">
                          <a14:useLocalDpi xmlns:a14="http://schemas.microsoft.com/office/drawing/2010/main" val="0"/>
                        </a:ext>
                      </a:extLst>
                    </a:blip>
                    <a:stretch>
                      <a:fillRect/>
                    </a:stretch>
                  </pic:blipFill>
                  <pic:spPr>
                    <a:xfrm>
                      <a:off x="0" y="0"/>
                      <a:ext cx="2463800" cy="752475"/>
                    </a:xfrm>
                    <a:prstGeom prst="rect">
                      <a:avLst/>
                    </a:prstGeom>
                  </pic:spPr>
                </pic:pic>
              </a:graphicData>
            </a:graphic>
            <wp14:sizeRelH relativeFrom="page">
              <wp14:pctWidth>0</wp14:pctWidth>
            </wp14:sizeRelH>
            <wp14:sizeRelV relativeFrom="page">
              <wp14:pctHeight>0</wp14:pctHeight>
            </wp14:sizeRelV>
          </wp:anchor>
        </w:drawing>
      </w:r>
      <w:r w:rsidR="00A1107A" w:rsidRPr="007B162F">
        <w:rPr>
          <w:rFonts w:ascii="Calibri Light" w:hAnsi="Calibri Light" w:cs="Calibri Light"/>
          <w:b/>
          <w:color w:val="800000"/>
          <w:u w:val="single"/>
        </w:rPr>
        <w:t>Mongolia joins International Forum of Sovereign Wealth Funds as associate member</w:t>
      </w:r>
    </w:p>
    <w:p w:rsidR="00A1107A" w:rsidRDefault="00A1107A" w:rsidP="00A1107A">
      <w:pPr>
        <w:jc w:val="both"/>
        <w:rPr>
          <w:rFonts w:ascii="Calibri Light" w:hAnsi="Calibri Light" w:cs="Calibri Light"/>
        </w:rPr>
      </w:pPr>
      <w:r w:rsidRPr="00E0611B">
        <w:rPr>
          <w:rFonts w:ascii="Calibri Light" w:hAnsi="Calibri Light" w:cs="Calibri Light"/>
        </w:rPr>
        <w:t>On September 12, the 11th annual meeting of the International Forum of Sovereign Wealth Funds (IFSWF) was hosted in Juneau, Alaska by Alaska Permanent Fund Corporation (APFC). The IFSWF annual meeting brings together members and financial leaders to discuss the key global issues affecting investors. Since its last meeting held in Marrakech, Morocco, the IFSWF has welcomed two new full members – Fonds Souverain d'Investissements Stratégiques (FONSIS) of Senegal and Bpifrance – and four new associate members – the Egypt Fund, the Future Heritage Fund of Mongolia, the National Infrastructure Investment Fund of India and the National Investment Fund of Cyprus.</w:t>
      </w:r>
      <w:r w:rsidR="006909B6">
        <w:rPr>
          <w:rFonts w:ascii="Calibri Light" w:hAnsi="Calibri Light" w:cs="Calibri Light"/>
        </w:rPr>
        <w:t xml:space="preserve"> </w:t>
      </w:r>
      <w:r w:rsidRPr="00E0611B">
        <w:rPr>
          <w:rFonts w:ascii="Calibri Light" w:hAnsi="Calibri Light" w:cs="Calibri Light"/>
        </w:rPr>
        <w:t>The Future Heritage Fund of Mongolia was established in 2015 with the intent of collecting a portion of mineral revenue for future generations’ use and the main sources of the FHF's financing include 65 percent of the royalty payments and the dividends to the state owned shares of legal entities with state ownership participation or state owned enterprises which possess mining licenses for mineral deposits</w:t>
      </w:r>
      <w:r w:rsidR="006909B6">
        <w:rPr>
          <w:rFonts w:ascii="Calibri Light" w:hAnsi="Calibri Light" w:cs="Calibri Light"/>
        </w:rPr>
        <w:t xml:space="preserve">. </w:t>
      </w:r>
      <w:r w:rsidRPr="00E0611B">
        <w:rPr>
          <w:rFonts w:ascii="Calibri Light" w:hAnsi="Calibri Light" w:cs="Calibri Light"/>
        </w:rPr>
        <w:t xml:space="preserve">The IFSWF is a global network of sovereign wealth funds (SWFs) established in 2009 to enhance collaboration and dialogue between members, to promote a deeper understanding of SWF activity and to raise the standard for SWF best practice and governance.  </w:t>
      </w:r>
    </w:p>
    <w:p w:rsidR="006909B6" w:rsidRDefault="006909B6" w:rsidP="00A1107A">
      <w:pPr>
        <w:jc w:val="both"/>
        <w:rPr>
          <w:rFonts w:ascii="Calibri Light" w:hAnsi="Calibri Light" w:cs="Calibri Light"/>
        </w:rPr>
      </w:pPr>
    </w:p>
    <w:p w:rsidR="006909B6" w:rsidRDefault="006909B6" w:rsidP="006909B6">
      <w:pPr>
        <w:spacing w:after="120"/>
        <w:jc w:val="both"/>
        <w:rPr>
          <w:rFonts w:ascii="Times New Roman" w:hAnsi="Times New Roman" w:cs="Times New Roman"/>
          <w:sz w:val="24"/>
          <w:szCs w:val="24"/>
        </w:rPr>
      </w:pPr>
      <w:r w:rsidRPr="00CF73F5">
        <w:rPr>
          <w:rFonts w:ascii="Times New Roman" w:hAnsi="Times New Roman" w:cs="Times New Roman"/>
          <w:sz w:val="20"/>
          <w:szCs w:val="20"/>
        </w:rPr>
        <w:drawing>
          <wp:anchor distT="0" distB="0" distL="114300" distR="114300" simplePos="0" relativeHeight="251695104" behindDoc="1" locked="0" layoutInCell="1" allowOverlap="1" wp14:anchorId="2A8FF58C" wp14:editId="6FCBB819">
            <wp:simplePos x="0" y="0"/>
            <wp:positionH relativeFrom="column">
              <wp:posOffset>-316865</wp:posOffset>
            </wp:positionH>
            <wp:positionV relativeFrom="paragraph">
              <wp:posOffset>97213</wp:posOffset>
            </wp:positionV>
            <wp:extent cx="7530465" cy="12700"/>
            <wp:effectExtent l="0" t="0" r="0" b="635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30465" cy="12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 xml:space="preserve">                                                                                                  </w:t>
      </w:r>
      <w:hyperlink r:id="rId38" w:history="1">
        <w:r w:rsidRPr="00CF73F5">
          <w:rPr>
            <w:rStyle w:val="Hyperlink"/>
            <w:rFonts w:ascii="Times New Roman" w:hAnsi="Times New Roman" w:cs="Times New Roman"/>
            <w:color w:val="800000"/>
            <w:sz w:val="24"/>
            <w:szCs w:val="24"/>
          </w:rPr>
          <w:t>www.nim.mn</w:t>
        </w:r>
      </w:hyperlink>
    </w:p>
    <w:p w:rsidR="006909B6" w:rsidRPr="00CF73F5" w:rsidRDefault="006909B6" w:rsidP="006909B6">
      <w:pPr>
        <w:spacing w:after="120"/>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4"/>
          <w:szCs w:val="24"/>
        </w:rPr>
        <w:t>pg. 7</w:t>
      </w:r>
    </w:p>
    <w:p w:rsidR="006909B6" w:rsidRDefault="006909B6" w:rsidP="00A1107A">
      <w:pPr>
        <w:jc w:val="both"/>
        <w:rPr>
          <w:rFonts w:ascii="Calibri Light" w:hAnsi="Calibri Light" w:cs="Calibri Light"/>
        </w:rPr>
      </w:pPr>
    </w:p>
    <w:p w:rsidR="006909B6" w:rsidRDefault="006909B6" w:rsidP="00A1107A">
      <w:pPr>
        <w:jc w:val="both"/>
        <w:rPr>
          <w:rFonts w:ascii="Calibri Light" w:hAnsi="Calibri Light" w:cs="Calibri Light"/>
        </w:rPr>
      </w:pPr>
      <w:r>
        <w:rPr>
          <w:rFonts w:ascii="Times New Roman" w:hAnsi="Times New Roman" w:cs="Times New Roman"/>
          <w:b/>
          <w:noProof/>
          <w:sz w:val="20"/>
          <w:szCs w:val="20"/>
        </w:rPr>
        <w:lastRenderedPageBreak/>
        <w:drawing>
          <wp:anchor distT="0" distB="0" distL="114300" distR="114300" simplePos="0" relativeHeight="251697152" behindDoc="0" locked="0" layoutInCell="1" allowOverlap="1" wp14:anchorId="6EF51BAF" wp14:editId="4C33ECC1">
            <wp:simplePos x="0" y="0"/>
            <wp:positionH relativeFrom="column">
              <wp:posOffset>0</wp:posOffset>
            </wp:positionH>
            <wp:positionV relativeFrom="paragraph">
              <wp:posOffset>360</wp:posOffset>
            </wp:positionV>
            <wp:extent cx="1502410" cy="509270"/>
            <wp:effectExtent l="0" t="0" r="2540" b="5080"/>
            <wp:wrapSquare wrapText="bothSides"/>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IM logo.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02410" cy="509270"/>
                    </a:xfrm>
                    <a:prstGeom prst="rect">
                      <a:avLst/>
                    </a:prstGeom>
                  </pic:spPr>
                </pic:pic>
              </a:graphicData>
            </a:graphic>
          </wp:anchor>
        </w:drawing>
      </w:r>
    </w:p>
    <w:p w:rsidR="006909B6" w:rsidRPr="00E0611B" w:rsidRDefault="006909B6" w:rsidP="00A1107A">
      <w:pPr>
        <w:jc w:val="both"/>
        <w:rPr>
          <w:rFonts w:ascii="Calibri Light" w:hAnsi="Calibri Light" w:cs="Calibri Light"/>
        </w:rPr>
      </w:pPr>
    </w:p>
    <w:p w:rsidR="006909B6" w:rsidRDefault="006909B6" w:rsidP="00A1107A">
      <w:pPr>
        <w:jc w:val="both"/>
        <w:rPr>
          <w:rFonts w:ascii="Calibri Light" w:hAnsi="Calibri Light" w:cs="Calibri Light"/>
          <w:noProof/>
        </w:rPr>
      </w:pPr>
    </w:p>
    <w:p w:rsidR="00A1107A" w:rsidRPr="007B162F" w:rsidRDefault="00A1107A" w:rsidP="00A1107A">
      <w:pPr>
        <w:jc w:val="both"/>
        <w:rPr>
          <w:rFonts w:ascii="Calibri Light" w:hAnsi="Calibri Light" w:cs="Calibri Light"/>
          <w:b/>
          <w:color w:val="800000"/>
          <w:u w:val="single"/>
        </w:rPr>
      </w:pPr>
      <w:r w:rsidRPr="007B162F">
        <w:rPr>
          <w:rFonts w:ascii="Calibri Light" w:hAnsi="Calibri Light" w:cs="Calibri Light"/>
          <w:b/>
          <w:color w:val="800000"/>
          <w:u w:val="single"/>
        </w:rPr>
        <w:t>China and Mongolia sign major infrastructure deal</w:t>
      </w:r>
    </w:p>
    <w:p w:rsidR="00A1107A" w:rsidRPr="00E0611B" w:rsidRDefault="006A6452" w:rsidP="00A1107A">
      <w:pPr>
        <w:jc w:val="both"/>
        <w:rPr>
          <w:rFonts w:ascii="Calibri Light" w:hAnsi="Calibri Light" w:cs="Calibri Light"/>
        </w:rPr>
      </w:pPr>
      <w:r>
        <w:rPr>
          <w:rFonts w:ascii="Calibri Light" w:hAnsi="Calibri Light" w:cs="Calibri Light"/>
          <w:noProof/>
        </w:rPr>
        <w:drawing>
          <wp:anchor distT="0" distB="0" distL="114300" distR="114300" simplePos="0" relativeHeight="251698176" behindDoc="0" locked="0" layoutInCell="1" allowOverlap="1" wp14:anchorId="35ED76D7" wp14:editId="71F4EBBF">
            <wp:simplePos x="0" y="0"/>
            <wp:positionH relativeFrom="column">
              <wp:posOffset>4102</wp:posOffset>
            </wp:positionH>
            <wp:positionV relativeFrom="paragraph">
              <wp:posOffset>2119</wp:posOffset>
            </wp:positionV>
            <wp:extent cx="2545080" cy="1544955"/>
            <wp:effectExtent l="0" t="0" r="7620" b="0"/>
            <wp:wrapSquare wrapText="bothSides"/>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2018091215005013270.jpg"/>
                    <pic:cNvPicPr/>
                  </pic:nvPicPr>
                  <pic:blipFill rotWithShape="1">
                    <a:blip r:embed="rId39" cstate="print">
                      <a:extLst>
                        <a:ext uri="{28A0092B-C50C-407E-A947-70E740481C1C}">
                          <a14:useLocalDpi xmlns:a14="http://schemas.microsoft.com/office/drawing/2010/main" val="0"/>
                        </a:ext>
                      </a:extLst>
                    </a:blip>
                    <a:srcRect b="13780"/>
                    <a:stretch/>
                  </pic:blipFill>
                  <pic:spPr bwMode="auto">
                    <a:xfrm>
                      <a:off x="0" y="0"/>
                      <a:ext cx="2545080" cy="1544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107A" w:rsidRPr="00E0611B">
        <w:rPr>
          <w:rFonts w:ascii="Calibri Light" w:hAnsi="Calibri Light" w:cs="Calibri Light"/>
        </w:rPr>
        <w:t>China and Mongolia have signed a cooperation plan on promoting the alignment of the China-proposed Belt and Road Initiative (BRI) with Mongolia’s Development Road Programme. Xi called for more efforts to align the BRI with the Development Road Programme and promote the building of the China-Mongolia-Russia economic corridor.</w:t>
      </w:r>
      <w:r w:rsidR="006909B6">
        <w:rPr>
          <w:rFonts w:ascii="Calibri Light" w:hAnsi="Calibri Light" w:cs="Calibri Light"/>
        </w:rPr>
        <w:t xml:space="preserve"> </w:t>
      </w:r>
      <w:r w:rsidR="00A1107A" w:rsidRPr="00E0611B">
        <w:rPr>
          <w:rFonts w:ascii="Calibri Light" w:hAnsi="Calibri Light" w:cs="Calibri Light"/>
        </w:rPr>
        <w:t>Proposed by Xi in 2013, the BRI comprises the Silk Road Economic Belt and the 21st Century Maritime Silk Road, and aims to build trade and infrastructure networks connecting Asia with Europe and Africa along and beyond the ancient Silk Road routes.</w:t>
      </w:r>
      <w:r w:rsidR="006909B6">
        <w:rPr>
          <w:rFonts w:ascii="Calibri Light" w:hAnsi="Calibri Light" w:cs="Calibri Light"/>
        </w:rPr>
        <w:t xml:space="preserve"> </w:t>
      </w:r>
      <w:r w:rsidR="00A1107A" w:rsidRPr="00E0611B">
        <w:rPr>
          <w:rFonts w:ascii="Calibri Light" w:hAnsi="Calibri Light" w:cs="Calibri Light"/>
        </w:rPr>
        <w:t>Under the BRI, China, Mongolia and Russia signed an agreement in 2016 to build an economic corridor linking the three neighbours and boost transportation connectivity and economic cooperation in border regions.</w:t>
      </w:r>
      <w:r w:rsidR="006909B6">
        <w:rPr>
          <w:rFonts w:ascii="Calibri Light" w:hAnsi="Calibri Light" w:cs="Calibri Light"/>
        </w:rPr>
        <w:t xml:space="preserve"> </w:t>
      </w:r>
      <w:r w:rsidR="00A1107A" w:rsidRPr="00E0611B">
        <w:rPr>
          <w:rFonts w:ascii="Calibri Light" w:hAnsi="Calibri Light" w:cs="Calibri Light"/>
        </w:rPr>
        <w:t>The Chinese and Mongolian governments signed a memorandum of understanding on BRI cooperation during the first BRF in May 2017.</w:t>
      </w:r>
    </w:p>
    <w:p w:rsidR="006A6452" w:rsidRDefault="006A6452" w:rsidP="00A1107A">
      <w:pPr>
        <w:jc w:val="both"/>
        <w:rPr>
          <w:rFonts w:ascii="Calibri Light" w:hAnsi="Calibri Light" w:cs="Calibri Light"/>
          <w:b/>
          <w:color w:val="800000"/>
          <w:u w:val="single"/>
        </w:rPr>
      </w:pPr>
    </w:p>
    <w:p w:rsidR="00A1107A" w:rsidRPr="007B162F" w:rsidRDefault="00A1107A" w:rsidP="00A1107A">
      <w:pPr>
        <w:jc w:val="both"/>
        <w:rPr>
          <w:rFonts w:ascii="Calibri Light" w:hAnsi="Calibri Light" w:cs="Calibri Light"/>
          <w:b/>
          <w:color w:val="800000"/>
          <w:u w:val="single"/>
        </w:rPr>
      </w:pPr>
      <w:r w:rsidRPr="007B162F">
        <w:rPr>
          <w:rFonts w:ascii="Calibri Light" w:hAnsi="Calibri Light" w:cs="Calibri Light"/>
          <w:b/>
          <w:color w:val="800000"/>
          <w:u w:val="single"/>
        </w:rPr>
        <w:t>Fourth Mongolian bank to close</w:t>
      </w:r>
    </w:p>
    <w:p w:rsidR="00A1107A" w:rsidRPr="00E0611B" w:rsidRDefault="006A6452" w:rsidP="00A1107A">
      <w:pPr>
        <w:jc w:val="both"/>
        <w:rPr>
          <w:rFonts w:ascii="Calibri Light" w:hAnsi="Calibri Light" w:cs="Calibri Light"/>
        </w:rPr>
      </w:pPr>
      <w:r>
        <w:rPr>
          <w:rFonts w:ascii="Calibri Light" w:hAnsi="Calibri Light" w:cs="Calibri Light"/>
          <w:noProof/>
        </w:rPr>
        <w:drawing>
          <wp:anchor distT="0" distB="0" distL="114300" distR="114300" simplePos="0" relativeHeight="251699200" behindDoc="0" locked="0" layoutInCell="1" allowOverlap="1" wp14:anchorId="6D6DC908" wp14:editId="27C61BB6">
            <wp:simplePos x="0" y="0"/>
            <wp:positionH relativeFrom="column">
              <wp:posOffset>5093335</wp:posOffset>
            </wp:positionH>
            <wp:positionV relativeFrom="paragraph">
              <wp:posOffset>142448</wp:posOffset>
            </wp:positionV>
            <wp:extent cx="1905000" cy="1905000"/>
            <wp:effectExtent l="0" t="0" r="0" b="0"/>
            <wp:wrapSquare wrapText="bothSides"/>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0.png"/>
                    <pic:cNvPicPr/>
                  </pic:nvPicPr>
                  <pic:blipFill>
                    <a:blip r:embed="rId40">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page">
              <wp14:pctWidth>0</wp14:pctWidth>
            </wp14:sizeRelH>
            <wp14:sizeRelV relativeFrom="page">
              <wp14:pctHeight>0</wp14:pctHeight>
            </wp14:sizeRelV>
          </wp:anchor>
        </w:drawing>
      </w:r>
      <w:r w:rsidR="00A1107A" w:rsidRPr="00E0611B">
        <w:rPr>
          <w:rFonts w:ascii="Calibri Light" w:hAnsi="Calibri Light" w:cs="Calibri Light"/>
        </w:rPr>
        <w:t>Capital Bank LLC, one of the 14 commercial banks in Mongolia has gone into liquidation by decree of the Central Bank of Mongolia. According to N.Batsaikhan, who is chief examiner at Mongol Bank</w:t>
      </w:r>
      <w:r w:rsidR="006909B6">
        <w:rPr>
          <w:rFonts w:ascii="Calibri Light" w:hAnsi="Calibri Light" w:cs="Calibri Light"/>
        </w:rPr>
        <w:t xml:space="preserve">, the volume of Capital Bank’s </w:t>
      </w:r>
      <w:r w:rsidR="00A1107A" w:rsidRPr="00E0611B">
        <w:rPr>
          <w:rFonts w:ascii="Calibri Light" w:hAnsi="Calibri Light" w:cs="Calibri Light"/>
        </w:rPr>
        <w:t>low grade credit reached MNT 208 billion – equivalent to 80 percent of its total credits.</w:t>
      </w:r>
    </w:p>
    <w:p w:rsidR="00A1107A" w:rsidRPr="00E0611B" w:rsidRDefault="00A1107A" w:rsidP="00A1107A">
      <w:pPr>
        <w:jc w:val="both"/>
        <w:rPr>
          <w:rFonts w:ascii="Calibri Light" w:hAnsi="Calibri Light" w:cs="Calibri Light"/>
        </w:rPr>
      </w:pPr>
      <w:r w:rsidRPr="00E0611B">
        <w:rPr>
          <w:rFonts w:ascii="Calibri Light" w:hAnsi="Calibri Light" w:cs="Calibri Light"/>
        </w:rPr>
        <w:t>Capital Bank LLC, has 256 thousand savings accounts by individuals and enterprises; 95 percent of accounts were insured, said, Kh.Bum-Erdene, director of Savings and Insurance Corporation.</w:t>
      </w:r>
    </w:p>
    <w:p w:rsidR="00A1107A" w:rsidRPr="00E0611B" w:rsidRDefault="00A1107A" w:rsidP="00A1107A">
      <w:pPr>
        <w:jc w:val="both"/>
        <w:rPr>
          <w:rFonts w:ascii="Calibri Light" w:hAnsi="Calibri Light" w:cs="Calibri Light"/>
        </w:rPr>
      </w:pPr>
      <w:r w:rsidRPr="00E0611B">
        <w:rPr>
          <w:rFonts w:ascii="Calibri Light" w:hAnsi="Calibri Light" w:cs="Calibri Light"/>
        </w:rPr>
        <w:t>Capital Banks LLC was founded in 1990 and has changed its name twice in 1998 and 2013. It is the fourth financial institution to have closed down in the last decade, following Zoos (Coin) Bank in 2009, Anod Bank in 2010 and the Savings Bank in 2013.</w:t>
      </w:r>
    </w:p>
    <w:p w:rsidR="00A1107A" w:rsidRPr="00E0611B" w:rsidRDefault="00A1107A" w:rsidP="00A1107A">
      <w:pPr>
        <w:jc w:val="both"/>
        <w:rPr>
          <w:rFonts w:ascii="Calibri Light" w:hAnsi="Calibri Light" w:cs="Calibri Light"/>
        </w:rPr>
      </w:pPr>
      <w:r w:rsidRPr="00E0611B">
        <w:rPr>
          <w:rFonts w:ascii="Calibri Light" w:hAnsi="Calibri Light" w:cs="Calibri Light"/>
        </w:rPr>
        <w:t>Regarding its place in the Mongolian banking system. Capital Bank LLC accounts for 1.1 percent.</w:t>
      </w:r>
    </w:p>
    <w:p w:rsidR="006A6452" w:rsidRDefault="006A6452" w:rsidP="00A1107A">
      <w:pPr>
        <w:jc w:val="both"/>
        <w:rPr>
          <w:rFonts w:ascii="Calibri Light" w:hAnsi="Calibri Light" w:cs="Calibri Light"/>
          <w:b/>
          <w:color w:val="800000"/>
          <w:u w:val="single"/>
        </w:rPr>
      </w:pPr>
    </w:p>
    <w:p w:rsidR="006A6452" w:rsidRDefault="006A6452" w:rsidP="00A1107A">
      <w:pPr>
        <w:jc w:val="both"/>
        <w:rPr>
          <w:rFonts w:ascii="Calibri Light" w:hAnsi="Calibri Light" w:cs="Calibri Light"/>
          <w:b/>
          <w:color w:val="800000"/>
          <w:u w:val="single"/>
        </w:rPr>
      </w:pPr>
    </w:p>
    <w:p w:rsidR="006A6452" w:rsidRDefault="006A6452" w:rsidP="00A1107A">
      <w:pPr>
        <w:jc w:val="both"/>
        <w:rPr>
          <w:rFonts w:ascii="Calibri Light" w:hAnsi="Calibri Light" w:cs="Calibri Light"/>
          <w:b/>
          <w:color w:val="800000"/>
          <w:u w:val="single"/>
        </w:rPr>
      </w:pPr>
    </w:p>
    <w:p w:rsidR="006A6452" w:rsidRDefault="006A6452" w:rsidP="00A1107A">
      <w:pPr>
        <w:jc w:val="both"/>
        <w:rPr>
          <w:rFonts w:ascii="Calibri Light" w:hAnsi="Calibri Light" w:cs="Calibri Light"/>
          <w:b/>
          <w:color w:val="800000"/>
          <w:u w:val="single"/>
        </w:rPr>
      </w:pPr>
    </w:p>
    <w:p w:rsidR="006A6452" w:rsidRDefault="006A6452" w:rsidP="00A1107A">
      <w:pPr>
        <w:jc w:val="both"/>
        <w:rPr>
          <w:rFonts w:ascii="Calibri Light" w:hAnsi="Calibri Light" w:cs="Calibri Light"/>
          <w:b/>
          <w:color w:val="800000"/>
          <w:u w:val="single"/>
        </w:rPr>
      </w:pPr>
    </w:p>
    <w:p w:rsidR="006A6452" w:rsidRDefault="006A6452" w:rsidP="00A1107A">
      <w:pPr>
        <w:jc w:val="both"/>
        <w:rPr>
          <w:rFonts w:ascii="Calibri Light" w:hAnsi="Calibri Light" w:cs="Calibri Light"/>
          <w:b/>
          <w:color w:val="800000"/>
          <w:u w:val="single"/>
        </w:rPr>
      </w:pPr>
    </w:p>
    <w:p w:rsidR="006A6452" w:rsidRDefault="006A6452" w:rsidP="00A1107A">
      <w:pPr>
        <w:jc w:val="both"/>
        <w:rPr>
          <w:rFonts w:ascii="Calibri Light" w:hAnsi="Calibri Light" w:cs="Calibri Light"/>
          <w:b/>
          <w:color w:val="800000"/>
          <w:u w:val="single"/>
        </w:rPr>
      </w:pPr>
    </w:p>
    <w:p w:rsidR="006A6452" w:rsidRDefault="006A6452" w:rsidP="006A6452">
      <w:pPr>
        <w:spacing w:after="120"/>
        <w:jc w:val="both"/>
        <w:rPr>
          <w:rFonts w:ascii="Times New Roman" w:hAnsi="Times New Roman" w:cs="Times New Roman"/>
          <w:sz w:val="24"/>
          <w:szCs w:val="24"/>
        </w:rPr>
      </w:pPr>
      <w:r w:rsidRPr="00CF73F5">
        <w:rPr>
          <w:rFonts w:ascii="Times New Roman" w:hAnsi="Times New Roman" w:cs="Times New Roman"/>
          <w:sz w:val="20"/>
          <w:szCs w:val="20"/>
        </w:rPr>
        <w:drawing>
          <wp:anchor distT="0" distB="0" distL="114300" distR="114300" simplePos="0" relativeHeight="251701248" behindDoc="1" locked="0" layoutInCell="1" allowOverlap="1" wp14:anchorId="7609CDB0" wp14:editId="7124BCF7">
            <wp:simplePos x="0" y="0"/>
            <wp:positionH relativeFrom="column">
              <wp:posOffset>-316865</wp:posOffset>
            </wp:positionH>
            <wp:positionV relativeFrom="paragraph">
              <wp:posOffset>97213</wp:posOffset>
            </wp:positionV>
            <wp:extent cx="7530465" cy="12700"/>
            <wp:effectExtent l="0" t="0" r="0" b="635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30465" cy="12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 xml:space="preserve">                                                                                                  </w:t>
      </w:r>
      <w:hyperlink r:id="rId41" w:history="1">
        <w:r w:rsidRPr="00CF73F5">
          <w:rPr>
            <w:rStyle w:val="Hyperlink"/>
            <w:rFonts w:ascii="Times New Roman" w:hAnsi="Times New Roman" w:cs="Times New Roman"/>
            <w:color w:val="800000"/>
            <w:sz w:val="24"/>
            <w:szCs w:val="24"/>
          </w:rPr>
          <w:t>www.nim.mn</w:t>
        </w:r>
      </w:hyperlink>
    </w:p>
    <w:p w:rsidR="006A6452" w:rsidRPr="00CF73F5" w:rsidRDefault="006A6452" w:rsidP="006A6452">
      <w:pPr>
        <w:spacing w:after="120"/>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4"/>
          <w:szCs w:val="24"/>
        </w:rPr>
        <w:t>pg. 8</w:t>
      </w:r>
    </w:p>
    <w:p w:rsidR="006A6452" w:rsidRDefault="006A6452" w:rsidP="00A1107A">
      <w:pPr>
        <w:jc w:val="both"/>
        <w:rPr>
          <w:rFonts w:ascii="Calibri Light" w:hAnsi="Calibri Light" w:cs="Calibri Light"/>
          <w:b/>
          <w:color w:val="800000"/>
          <w:u w:val="single"/>
        </w:rPr>
      </w:pPr>
      <w:r>
        <w:rPr>
          <w:rFonts w:ascii="Times New Roman" w:hAnsi="Times New Roman" w:cs="Times New Roman"/>
          <w:b/>
          <w:noProof/>
          <w:sz w:val="20"/>
          <w:szCs w:val="20"/>
        </w:rPr>
        <w:lastRenderedPageBreak/>
        <w:drawing>
          <wp:anchor distT="0" distB="0" distL="114300" distR="114300" simplePos="0" relativeHeight="251705344" behindDoc="0" locked="0" layoutInCell="1" allowOverlap="1" wp14:anchorId="1E85F733" wp14:editId="146916D4">
            <wp:simplePos x="0" y="0"/>
            <wp:positionH relativeFrom="column">
              <wp:posOffset>0</wp:posOffset>
            </wp:positionH>
            <wp:positionV relativeFrom="paragraph">
              <wp:posOffset>360</wp:posOffset>
            </wp:positionV>
            <wp:extent cx="1502410" cy="509270"/>
            <wp:effectExtent l="0" t="0" r="2540" b="5080"/>
            <wp:wrapSquare wrapText="bothSides"/>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IM logo.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02410" cy="509270"/>
                    </a:xfrm>
                    <a:prstGeom prst="rect">
                      <a:avLst/>
                    </a:prstGeom>
                  </pic:spPr>
                </pic:pic>
              </a:graphicData>
            </a:graphic>
          </wp:anchor>
        </w:drawing>
      </w:r>
    </w:p>
    <w:p w:rsidR="006A6452" w:rsidRDefault="006A6452" w:rsidP="00A1107A">
      <w:pPr>
        <w:jc w:val="both"/>
        <w:rPr>
          <w:rFonts w:ascii="Calibri Light" w:hAnsi="Calibri Light" w:cs="Calibri Light"/>
          <w:b/>
          <w:color w:val="800000"/>
          <w:u w:val="single"/>
        </w:rPr>
      </w:pPr>
    </w:p>
    <w:p w:rsidR="00D34BAB" w:rsidRDefault="00D34BAB" w:rsidP="00A1107A">
      <w:pPr>
        <w:jc w:val="both"/>
        <w:rPr>
          <w:rFonts w:ascii="Calibri Light" w:hAnsi="Calibri Light" w:cs="Calibri Light"/>
          <w:b/>
          <w:color w:val="800000"/>
          <w:u w:val="single"/>
        </w:rPr>
      </w:pPr>
    </w:p>
    <w:p w:rsidR="00A1107A" w:rsidRPr="007B162F" w:rsidRDefault="006A6452" w:rsidP="00A1107A">
      <w:pPr>
        <w:jc w:val="both"/>
        <w:rPr>
          <w:rFonts w:ascii="Calibri Light" w:hAnsi="Calibri Light" w:cs="Calibri Light"/>
          <w:b/>
          <w:color w:val="800000"/>
        </w:rPr>
      </w:pPr>
      <w:r>
        <w:rPr>
          <w:rFonts w:ascii="Calibri Light" w:hAnsi="Calibri Light" w:cs="Calibri Light"/>
          <w:noProof/>
        </w:rPr>
        <w:drawing>
          <wp:anchor distT="0" distB="0" distL="114300" distR="114300" simplePos="0" relativeHeight="251706368" behindDoc="0" locked="0" layoutInCell="1" allowOverlap="1" wp14:anchorId="1DBC9639" wp14:editId="66DBC5EC">
            <wp:simplePos x="0" y="0"/>
            <wp:positionH relativeFrom="column">
              <wp:posOffset>3810</wp:posOffset>
            </wp:positionH>
            <wp:positionV relativeFrom="paragraph">
              <wp:posOffset>281940</wp:posOffset>
            </wp:positionV>
            <wp:extent cx="1585595" cy="1585595"/>
            <wp:effectExtent l="0" t="0" r="0" b="0"/>
            <wp:wrapSquare wrapText="bothSides"/>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_29e4a7e9-7image_story.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585595" cy="1585595"/>
                    </a:xfrm>
                    <a:prstGeom prst="rect">
                      <a:avLst/>
                    </a:prstGeom>
                  </pic:spPr>
                </pic:pic>
              </a:graphicData>
            </a:graphic>
            <wp14:sizeRelH relativeFrom="page">
              <wp14:pctWidth>0</wp14:pctWidth>
            </wp14:sizeRelH>
            <wp14:sizeRelV relativeFrom="page">
              <wp14:pctHeight>0</wp14:pctHeight>
            </wp14:sizeRelV>
          </wp:anchor>
        </w:drawing>
      </w:r>
      <w:r w:rsidR="00A1107A" w:rsidRPr="007B162F">
        <w:rPr>
          <w:rFonts w:ascii="Calibri Light" w:hAnsi="Calibri Light" w:cs="Calibri Light"/>
          <w:b/>
          <w:color w:val="800000"/>
          <w:u w:val="single"/>
        </w:rPr>
        <w:t xml:space="preserve">Mongolia has been added to the grey list </w:t>
      </w:r>
    </w:p>
    <w:p w:rsidR="00A1107A" w:rsidRPr="00E0611B" w:rsidRDefault="00A1107A" w:rsidP="00A1107A">
      <w:pPr>
        <w:jc w:val="both"/>
        <w:rPr>
          <w:rFonts w:ascii="Calibri Light" w:hAnsi="Calibri Light" w:cs="Calibri Light"/>
        </w:rPr>
      </w:pPr>
      <w:r w:rsidRPr="00E0611B">
        <w:rPr>
          <w:rFonts w:ascii="Calibri Light" w:hAnsi="Calibri Light" w:cs="Calibri Light"/>
        </w:rPr>
        <w:t>Having failed to adequately comply with the recommendations of the Financial Action Task Force (FATF), concerning anti-money laundering and counter-terrorism financing measures, Mongolia has been added to the FATF’s grey list along with Iraq, Zimbabwe and N.Korea.</w:t>
      </w:r>
    </w:p>
    <w:p w:rsidR="00A1107A" w:rsidRPr="00E0611B" w:rsidRDefault="00A1107A" w:rsidP="00A1107A">
      <w:pPr>
        <w:jc w:val="both"/>
        <w:rPr>
          <w:rFonts w:ascii="Calibri Light" w:hAnsi="Calibri Light" w:cs="Calibri Light"/>
        </w:rPr>
      </w:pPr>
      <w:r w:rsidRPr="00E0611B">
        <w:rPr>
          <w:rFonts w:ascii="Calibri Light" w:hAnsi="Calibri Light" w:cs="Calibri Light"/>
        </w:rPr>
        <w:t>Specialists at the Paris-based watchdog consider Mongolia is risking all foreign transactions and investments, slowing down the economy and leading to further uncertainty. In Ulaanbaatar, there is consternation at the decision. Mongolia succeeded in getting out of the grey list in 2014 after taking actions money laundering. Mongolia has worked to address weaknesses in its technical compliance with the FATF’s standards since 2017. Meanwhile, its economy is in recovery following a bailout from the International Monetary Fund in 2017.</w:t>
      </w:r>
    </w:p>
    <w:p w:rsidR="00A1107A" w:rsidRPr="00E0611B" w:rsidRDefault="00A1107A" w:rsidP="00A1107A">
      <w:pPr>
        <w:jc w:val="both"/>
        <w:rPr>
          <w:rFonts w:ascii="Calibri Light" w:hAnsi="Calibri Light" w:cs="Calibri Light"/>
        </w:rPr>
      </w:pPr>
      <w:r w:rsidRPr="00E0611B">
        <w:rPr>
          <w:rFonts w:ascii="Calibri Light" w:hAnsi="Calibri Light" w:cs="Calibri Light"/>
        </w:rPr>
        <w:t>Since the completion of its mutual evaluation report (MER) in 2017, Mongolia has made progress on a number of its MER recommended actions to improve technical compliance and effectiveness. Mongolia completed 35 out of 40 technical compliances and seven out of 11 indicates.</w:t>
      </w:r>
    </w:p>
    <w:p w:rsidR="00A1107A" w:rsidRPr="00E0611B" w:rsidRDefault="00A1107A" w:rsidP="00A1107A">
      <w:pPr>
        <w:jc w:val="both"/>
        <w:rPr>
          <w:rFonts w:ascii="Calibri Light" w:hAnsi="Calibri Light" w:cs="Calibri Light"/>
        </w:rPr>
      </w:pPr>
      <w:r w:rsidRPr="00E0611B">
        <w:rPr>
          <w:rFonts w:ascii="Calibri Light" w:hAnsi="Calibri Light" w:cs="Calibri Light"/>
        </w:rPr>
        <w:t>The FATF is an inter-governmental body established in 1989 to combat money laundering, terrorist financing and other related threats to the integrity of the international financial system.</w:t>
      </w:r>
    </w:p>
    <w:p w:rsidR="00A1107A" w:rsidRPr="00E0611B" w:rsidRDefault="00A1107A" w:rsidP="00A1107A">
      <w:pPr>
        <w:jc w:val="both"/>
        <w:rPr>
          <w:rFonts w:ascii="Calibri Light" w:hAnsi="Calibri Light" w:cs="Calibri Light"/>
        </w:rPr>
      </w:pPr>
      <w:r w:rsidRPr="00E0611B">
        <w:rPr>
          <w:rFonts w:ascii="Calibri Light" w:hAnsi="Calibri Light" w:cs="Calibri Light"/>
        </w:rPr>
        <w:t>The Mongolian Central Bank or Mongol Bank is aiming to exit from FATF grey list in 2020.</w:t>
      </w:r>
    </w:p>
    <w:p w:rsidR="00CC17AB" w:rsidRDefault="00CC17AB" w:rsidP="00A1107A">
      <w:pPr>
        <w:jc w:val="both"/>
        <w:rPr>
          <w:rFonts w:ascii="Times New Roman" w:hAnsi="Times New Roman" w:cs="Times New Roman"/>
          <w:b/>
          <w:sz w:val="20"/>
          <w:szCs w:val="20"/>
        </w:rPr>
      </w:pPr>
    </w:p>
    <w:p w:rsidR="00D34BAB" w:rsidRDefault="00D34BAB" w:rsidP="00A1107A">
      <w:pPr>
        <w:jc w:val="both"/>
        <w:rPr>
          <w:rFonts w:ascii="Times New Roman" w:hAnsi="Times New Roman" w:cs="Times New Roman"/>
          <w:b/>
          <w:sz w:val="20"/>
          <w:szCs w:val="20"/>
        </w:rPr>
      </w:pPr>
    </w:p>
    <w:p w:rsidR="00D34BAB" w:rsidRDefault="00D34BAB" w:rsidP="00A1107A">
      <w:pPr>
        <w:jc w:val="both"/>
        <w:rPr>
          <w:rFonts w:ascii="Times New Roman" w:hAnsi="Times New Roman" w:cs="Times New Roman"/>
          <w:b/>
          <w:sz w:val="20"/>
          <w:szCs w:val="20"/>
        </w:rPr>
      </w:pPr>
    </w:p>
    <w:p w:rsidR="00D34BAB" w:rsidRDefault="00D34BAB" w:rsidP="00A1107A">
      <w:pPr>
        <w:jc w:val="both"/>
        <w:rPr>
          <w:rFonts w:ascii="Times New Roman" w:hAnsi="Times New Roman" w:cs="Times New Roman"/>
          <w:b/>
          <w:sz w:val="20"/>
          <w:szCs w:val="20"/>
        </w:rPr>
      </w:pPr>
    </w:p>
    <w:p w:rsidR="00D34BAB" w:rsidRDefault="00D34BAB" w:rsidP="00A1107A">
      <w:pPr>
        <w:jc w:val="both"/>
        <w:rPr>
          <w:rFonts w:ascii="Times New Roman" w:hAnsi="Times New Roman" w:cs="Times New Roman"/>
          <w:b/>
          <w:sz w:val="20"/>
          <w:szCs w:val="20"/>
        </w:rPr>
      </w:pPr>
    </w:p>
    <w:p w:rsidR="00D34BAB" w:rsidRDefault="00D34BAB" w:rsidP="00A1107A">
      <w:pPr>
        <w:jc w:val="both"/>
        <w:rPr>
          <w:rFonts w:ascii="Times New Roman" w:hAnsi="Times New Roman" w:cs="Times New Roman"/>
          <w:b/>
          <w:sz w:val="20"/>
          <w:szCs w:val="20"/>
        </w:rPr>
      </w:pPr>
    </w:p>
    <w:p w:rsidR="00D34BAB" w:rsidRDefault="00D34BAB" w:rsidP="00A1107A">
      <w:pPr>
        <w:jc w:val="both"/>
        <w:rPr>
          <w:rFonts w:ascii="Times New Roman" w:hAnsi="Times New Roman" w:cs="Times New Roman"/>
          <w:b/>
          <w:sz w:val="20"/>
          <w:szCs w:val="20"/>
        </w:rPr>
      </w:pPr>
    </w:p>
    <w:p w:rsidR="00D34BAB" w:rsidRPr="007B162F" w:rsidRDefault="00D34BAB" w:rsidP="00A1107A">
      <w:pPr>
        <w:jc w:val="both"/>
        <w:rPr>
          <w:rFonts w:ascii="Times New Roman" w:hAnsi="Times New Roman" w:cs="Times New Roman"/>
          <w:b/>
          <w:sz w:val="20"/>
          <w:szCs w:val="20"/>
        </w:rPr>
      </w:pPr>
    </w:p>
    <w:p w:rsidR="00CC17AB" w:rsidRPr="007B162F" w:rsidRDefault="007B162F" w:rsidP="007B162F">
      <w:pPr>
        <w:spacing w:after="0"/>
        <w:jc w:val="right"/>
        <w:rPr>
          <w:rFonts w:ascii="Calibri Light" w:hAnsi="Calibri Light" w:cs="Calibri Light"/>
          <w:b/>
          <w:i/>
          <w:sz w:val="18"/>
          <w:szCs w:val="18"/>
        </w:rPr>
      </w:pPr>
      <w:r w:rsidRPr="007B162F">
        <w:rPr>
          <w:rFonts w:ascii="Calibri Light" w:hAnsi="Calibri Light" w:cs="Calibri Light"/>
          <w:b/>
          <w:i/>
          <w:sz w:val="18"/>
          <w:szCs w:val="18"/>
        </w:rPr>
        <w:t>Sources:</w:t>
      </w:r>
    </w:p>
    <w:p w:rsidR="007B162F" w:rsidRDefault="007B162F" w:rsidP="007B162F">
      <w:pPr>
        <w:spacing w:after="0"/>
        <w:jc w:val="right"/>
        <w:rPr>
          <w:rFonts w:ascii="Calibri Light" w:hAnsi="Calibri Light" w:cs="Calibri Light"/>
          <w:i/>
          <w:sz w:val="18"/>
          <w:szCs w:val="18"/>
        </w:rPr>
      </w:pPr>
      <w:r>
        <w:rPr>
          <w:rFonts w:ascii="Calibri Light" w:hAnsi="Calibri Light" w:cs="Calibri Light"/>
          <w:i/>
          <w:sz w:val="18"/>
          <w:szCs w:val="18"/>
        </w:rPr>
        <w:t>Bank of Mongolia</w:t>
      </w:r>
    </w:p>
    <w:p w:rsidR="007B162F" w:rsidRDefault="007B162F" w:rsidP="007B162F">
      <w:pPr>
        <w:spacing w:after="0"/>
        <w:jc w:val="right"/>
        <w:rPr>
          <w:rFonts w:ascii="Calibri Light" w:hAnsi="Calibri Light" w:cs="Calibri Light"/>
          <w:i/>
          <w:sz w:val="18"/>
          <w:szCs w:val="18"/>
        </w:rPr>
      </w:pPr>
      <w:r>
        <w:rPr>
          <w:rFonts w:ascii="Calibri Light" w:hAnsi="Calibri Light" w:cs="Calibri Light"/>
          <w:i/>
          <w:sz w:val="18"/>
          <w:szCs w:val="18"/>
        </w:rPr>
        <w:t>Worldbank</w:t>
      </w:r>
    </w:p>
    <w:p w:rsidR="007B162F" w:rsidRDefault="007B162F" w:rsidP="007B162F">
      <w:pPr>
        <w:spacing w:after="0"/>
        <w:jc w:val="right"/>
        <w:rPr>
          <w:rFonts w:ascii="Calibri Light" w:hAnsi="Calibri Light" w:cs="Calibri Light"/>
          <w:i/>
          <w:sz w:val="18"/>
          <w:szCs w:val="18"/>
        </w:rPr>
      </w:pPr>
      <w:r>
        <w:rPr>
          <w:rFonts w:ascii="Calibri Light" w:hAnsi="Calibri Light" w:cs="Calibri Light"/>
          <w:i/>
          <w:sz w:val="18"/>
          <w:szCs w:val="18"/>
        </w:rPr>
        <w:t>International Monetary Fund (IMF)</w:t>
      </w:r>
    </w:p>
    <w:p w:rsidR="007B162F" w:rsidRDefault="007B162F" w:rsidP="007B162F">
      <w:pPr>
        <w:spacing w:after="0"/>
        <w:jc w:val="right"/>
        <w:rPr>
          <w:rFonts w:ascii="Calibri Light" w:hAnsi="Calibri Light" w:cs="Calibri Light"/>
          <w:i/>
          <w:sz w:val="18"/>
          <w:szCs w:val="18"/>
        </w:rPr>
      </w:pPr>
      <w:r>
        <w:rPr>
          <w:rFonts w:ascii="Calibri Light" w:hAnsi="Calibri Light" w:cs="Calibri Light"/>
          <w:i/>
          <w:sz w:val="18"/>
          <w:szCs w:val="18"/>
        </w:rPr>
        <w:t>National Statistical Office of Mongolia (NSO)</w:t>
      </w:r>
    </w:p>
    <w:p w:rsidR="007B162F" w:rsidRDefault="007B162F" w:rsidP="007B162F">
      <w:pPr>
        <w:spacing w:after="0"/>
        <w:jc w:val="right"/>
        <w:rPr>
          <w:rFonts w:ascii="Calibri Light" w:hAnsi="Calibri Light" w:cs="Calibri Light"/>
          <w:i/>
          <w:sz w:val="18"/>
          <w:szCs w:val="18"/>
        </w:rPr>
      </w:pPr>
      <w:r>
        <w:rPr>
          <w:rFonts w:ascii="Calibri Light" w:hAnsi="Calibri Light" w:cs="Calibri Light"/>
          <w:i/>
          <w:sz w:val="18"/>
          <w:szCs w:val="18"/>
        </w:rPr>
        <w:t>Mongolian Stock Exchange (MSE)</w:t>
      </w:r>
    </w:p>
    <w:p w:rsidR="007B162F" w:rsidRDefault="007B162F" w:rsidP="007B162F">
      <w:pPr>
        <w:spacing w:after="0"/>
        <w:jc w:val="right"/>
        <w:rPr>
          <w:rFonts w:ascii="Calibri Light" w:hAnsi="Calibri Light" w:cs="Calibri Light"/>
          <w:i/>
          <w:sz w:val="18"/>
          <w:szCs w:val="18"/>
        </w:rPr>
      </w:pPr>
      <w:r>
        <w:rPr>
          <w:rFonts w:ascii="Calibri Light" w:hAnsi="Calibri Light" w:cs="Calibri Light"/>
          <w:i/>
          <w:sz w:val="18"/>
          <w:szCs w:val="18"/>
        </w:rPr>
        <w:t>Financial Regulatory Commission of Mongolia (FRC)</w:t>
      </w:r>
    </w:p>
    <w:p w:rsidR="007B162F" w:rsidRDefault="007B162F" w:rsidP="007B162F">
      <w:pPr>
        <w:spacing w:after="0"/>
        <w:jc w:val="right"/>
        <w:rPr>
          <w:rFonts w:ascii="Calibri Light" w:hAnsi="Calibri Light" w:cs="Calibri Light"/>
          <w:i/>
          <w:sz w:val="18"/>
          <w:szCs w:val="18"/>
        </w:rPr>
      </w:pPr>
      <w:r>
        <w:rPr>
          <w:rFonts w:ascii="Calibri Light" w:hAnsi="Calibri Light" w:cs="Calibri Light"/>
          <w:i/>
          <w:sz w:val="18"/>
          <w:szCs w:val="18"/>
        </w:rPr>
        <w:t>Montsame News</w:t>
      </w:r>
    </w:p>
    <w:p w:rsidR="007B162F" w:rsidRDefault="007B162F" w:rsidP="007B162F">
      <w:pPr>
        <w:spacing w:after="0"/>
        <w:jc w:val="right"/>
        <w:rPr>
          <w:rFonts w:ascii="Calibri Light" w:hAnsi="Calibri Light" w:cs="Calibri Light"/>
          <w:i/>
          <w:sz w:val="18"/>
          <w:szCs w:val="18"/>
        </w:rPr>
      </w:pPr>
      <w:r>
        <w:rPr>
          <w:rFonts w:ascii="Calibri Light" w:hAnsi="Calibri Light" w:cs="Calibri Light"/>
          <w:i/>
          <w:sz w:val="18"/>
          <w:szCs w:val="18"/>
        </w:rPr>
        <w:t>Bloomberg</w:t>
      </w:r>
    </w:p>
    <w:p w:rsidR="00D34BAB" w:rsidRDefault="00D34BAB" w:rsidP="00D34BAB">
      <w:pPr>
        <w:jc w:val="center"/>
        <w:rPr>
          <w:rFonts w:ascii="Calibri Light" w:hAnsi="Calibri Light" w:cs="Calibri Light"/>
          <w:i/>
          <w:sz w:val="18"/>
          <w:szCs w:val="18"/>
        </w:rPr>
      </w:pPr>
    </w:p>
    <w:p w:rsidR="00D34BAB" w:rsidRDefault="00D34BAB" w:rsidP="00D34BAB">
      <w:pPr>
        <w:rPr>
          <w:rFonts w:ascii="Calibri Light" w:hAnsi="Calibri Light" w:cs="Calibri Light"/>
          <w:i/>
          <w:sz w:val="18"/>
          <w:szCs w:val="18"/>
        </w:rPr>
      </w:pPr>
    </w:p>
    <w:p w:rsidR="009A05B3" w:rsidRDefault="009A05B3" w:rsidP="00692AF9">
      <w:pPr>
        <w:jc w:val="both"/>
        <w:rPr>
          <w:rFonts w:ascii="Times New Roman" w:hAnsi="Times New Roman" w:cs="Times New Roman"/>
          <w:sz w:val="20"/>
          <w:szCs w:val="20"/>
        </w:rPr>
      </w:pPr>
    </w:p>
    <w:p w:rsidR="006A6452" w:rsidRDefault="006A6452" w:rsidP="006A6452">
      <w:pPr>
        <w:spacing w:after="120"/>
        <w:jc w:val="both"/>
        <w:rPr>
          <w:rFonts w:ascii="Times New Roman" w:hAnsi="Times New Roman" w:cs="Times New Roman"/>
          <w:sz w:val="24"/>
          <w:szCs w:val="24"/>
        </w:rPr>
      </w:pPr>
      <w:r w:rsidRPr="00CF73F5">
        <w:rPr>
          <w:rFonts w:ascii="Times New Roman" w:hAnsi="Times New Roman" w:cs="Times New Roman"/>
          <w:sz w:val="20"/>
          <w:szCs w:val="20"/>
        </w:rPr>
        <w:drawing>
          <wp:anchor distT="0" distB="0" distL="114300" distR="114300" simplePos="0" relativeHeight="251703296" behindDoc="1" locked="0" layoutInCell="1" allowOverlap="1" wp14:anchorId="7609CDB0" wp14:editId="7124BCF7">
            <wp:simplePos x="0" y="0"/>
            <wp:positionH relativeFrom="column">
              <wp:posOffset>-316865</wp:posOffset>
            </wp:positionH>
            <wp:positionV relativeFrom="paragraph">
              <wp:posOffset>97213</wp:posOffset>
            </wp:positionV>
            <wp:extent cx="7530465" cy="12700"/>
            <wp:effectExtent l="0" t="0" r="0" b="635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30465" cy="12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 xml:space="preserve">                                                                                                  </w:t>
      </w:r>
      <w:hyperlink r:id="rId43" w:history="1">
        <w:r w:rsidRPr="00CF73F5">
          <w:rPr>
            <w:rStyle w:val="Hyperlink"/>
            <w:rFonts w:ascii="Times New Roman" w:hAnsi="Times New Roman" w:cs="Times New Roman"/>
            <w:color w:val="800000"/>
            <w:sz w:val="24"/>
            <w:szCs w:val="24"/>
          </w:rPr>
          <w:t>www.nim.mn</w:t>
        </w:r>
      </w:hyperlink>
    </w:p>
    <w:p w:rsidR="008F27F8" w:rsidRPr="00D34BAB" w:rsidRDefault="006A6452" w:rsidP="00D34BAB">
      <w:pPr>
        <w:spacing w:after="120"/>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4"/>
          <w:szCs w:val="24"/>
        </w:rPr>
        <w:t>pg. 9</w:t>
      </w:r>
    </w:p>
    <w:sectPr w:rsidR="008F27F8" w:rsidRPr="00D34BAB" w:rsidSect="00915C3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F5F" w:rsidRDefault="00EC1F5F" w:rsidP="00884A43">
      <w:pPr>
        <w:spacing w:after="0" w:line="240" w:lineRule="auto"/>
      </w:pPr>
      <w:r>
        <w:separator/>
      </w:r>
    </w:p>
  </w:endnote>
  <w:endnote w:type="continuationSeparator" w:id="0">
    <w:p w:rsidR="00EC1F5F" w:rsidRDefault="00EC1F5F" w:rsidP="0088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F5F" w:rsidRDefault="00EC1F5F" w:rsidP="00884A43">
      <w:pPr>
        <w:spacing w:after="0" w:line="240" w:lineRule="auto"/>
      </w:pPr>
      <w:r>
        <w:separator/>
      </w:r>
    </w:p>
  </w:footnote>
  <w:footnote w:type="continuationSeparator" w:id="0">
    <w:p w:rsidR="00EC1F5F" w:rsidRDefault="00EC1F5F" w:rsidP="00884A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25CCB"/>
    <w:multiLevelType w:val="hybridMultilevel"/>
    <w:tmpl w:val="53B6002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75101D"/>
    <w:multiLevelType w:val="hybridMultilevel"/>
    <w:tmpl w:val="9B16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7E574F"/>
    <w:multiLevelType w:val="hybridMultilevel"/>
    <w:tmpl w:val="9882302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0E2339"/>
    <w:multiLevelType w:val="hybridMultilevel"/>
    <w:tmpl w:val="EA7C3CCA"/>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B1"/>
    <w:rsid w:val="00001E88"/>
    <w:rsid w:val="000165C4"/>
    <w:rsid w:val="000209BD"/>
    <w:rsid w:val="00035AE4"/>
    <w:rsid w:val="00063416"/>
    <w:rsid w:val="000A4CC2"/>
    <w:rsid w:val="000C01C9"/>
    <w:rsid w:val="000D1BEA"/>
    <w:rsid w:val="0012181C"/>
    <w:rsid w:val="001462B0"/>
    <w:rsid w:val="0019116E"/>
    <w:rsid w:val="001923E9"/>
    <w:rsid w:val="002234EB"/>
    <w:rsid w:val="00233424"/>
    <w:rsid w:val="00256636"/>
    <w:rsid w:val="002D5425"/>
    <w:rsid w:val="002F5865"/>
    <w:rsid w:val="003306DD"/>
    <w:rsid w:val="00334857"/>
    <w:rsid w:val="003518C0"/>
    <w:rsid w:val="00373B04"/>
    <w:rsid w:val="003762A9"/>
    <w:rsid w:val="00397C7C"/>
    <w:rsid w:val="003E7344"/>
    <w:rsid w:val="00417FB8"/>
    <w:rsid w:val="00460DC0"/>
    <w:rsid w:val="00472C99"/>
    <w:rsid w:val="004B1A81"/>
    <w:rsid w:val="004B48D3"/>
    <w:rsid w:val="004D080D"/>
    <w:rsid w:val="004D5FF6"/>
    <w:rsid w:val="0050461B"/>
    <w:rsid w:val="005052E7"/>
    <w:rsid w:val="005526E2"/>
    <w:rsid w:val="005657D0"/>
    <w:rsid w:val="0056712E"/>
    <w:rsid w:val="005B2717"/>
    <w:rsid w:val="005C37D6"/>
    <w:rsid w:val="005E2FC8"/>
    <w:rsid w:val="00635E8A"/>
    <w:rsid w:val="00641F70"/>
    <w:rsid w:val="006909B6"/>
    <w:rsid w:val="00692AF9"/>
    <w:rsid w:val="00695870"/>
    <w:rsid w:val="006A6452"/>
    <w:rsid w:val="006C69C5"/>
    <w:rsid w:val="00710A4F"/>
    <w:rsid w:val="00726E59"/>
    <w:rsid w:val="007637F8"/>
    <w:rsid w:val="00787E5E"/>
    <w:rsid w:val="007A6C14"/>
    <w:rsid w:val="007B162F"/>
    <w:rsid w:val="007D0E65"/>
    <w:rsid w:val="008049FE"/>
    <w:rsid w:val="00820303"/>
    <w:rsid w:val="008351C2"/>
    <w:rsid w:val="00871F57"/>
    <w:rsid w:val="00884A43"/>
    <w:rsid w:val="008A4F4A"/>
    <w:rsid w:val="008B685E"/>
    <w:rsid w:val="008F27F8"/>
    <w:rsid w:val="00911D06"/>
    <w:rsid w:val="00915C34"/>
    <w:rsid w:val="00972DFA"/>
    <w:rsid w:val="009A05B3"/>
    <w:rsid w:val="009E1A30"/>
    <w:rsid w:val="00A1107A"/>
    <w:rsid w:val="00A125BE"/>
    <w:rsid w:val="00A209B7"/>
    <w:rsid w:val="00A755C5"/>
    <w:rsid w:val="00A825E6"/>
    <w:rsid w:val="00A9532E"/>
    <w:rsid w:val="00AC6902"/>
    <w:rsid w:val="00AD66B8"/>
    <w:rsid w:val="00B17CDD"/>
    <w:rsid w:val="00B568E3"/>
    <w:rsid w:val="00B86F01"/>
    <w:rsid w:val="00BC0688"/>
    <w:rsid w:val="00BD67F3"/>
    <w:rsid w:val="00C1174F"/>
    <w:rsid w:val="00C250CC"/>
    <w:rsid w:val="00C25A87"/>
    <w:rsid w:val="00C53637"/>
    <w:rsid w:val="00C87C49"/>
    <w:rsid w:val="00CA1A4B"/>
    <w:rsid w:val="00CC17AB"/>
    <w:rsid w:val="00CC79E5"/>
    <w:rsid w:val="00CE4327"/>
    <w:rsid w:val="00CF1375"/>
    <w:rsid w:val="00CF73F5"/>
    <w:rsid w:val="00D06A21"/>
    <w:rsid w:val="00D13801"/>
    <w:rsid w:val="00D21631"/>
    <w:rsid w:val="00D2283A"/>
    <w:rsid w:val="00D26FA9"/>
    <w:rsid w:val="00D3211F"/>
    <w:rsid w:val="00D34BAB"/>
    <w:rsid w:val="00D61218"/>
    <w:rsid w:val="00D842DB"/>
    <w:rsid w:val="00D84AC9"/>
    <w:rsid w:val="00D9037C"/>
    <w:rsid w:val="00DB1F52"/>
    <w:rsid w:val="00DB59E8"/>
    <w:rsid w:val="00DC1A65"/>
    <w:rsid w:val="00DE219A"/>
    <w:rsid w:val="00DF1223"/>
    <w:rsid w:val="00DF1CBA"/>
    <w:rsid w:val="00E04FFA"/>
    <w:rsid w:val="00E0611B"/>
    <w:rsid w:val="00E118CC"/>
    <w:rsid w:val="00E246F3"/>
    <w:rsid w:val="00E34DAB"/>
    <w:rsid w:val="00E44DD4"/>
    <w:rsid w:val="00E47FB1"/>
    <w:rsid w:val="00E70EBD"/>
    <w:rsid w:val="00E713D7"/>
    <w:rsid w:val="00EA6CCA"/>
    <w:rsid w:val="00EC1F5F"/>
    <w:rsid w:val="00ED1658"/>
    <w:rsid w:val="00EF6BA5"/>
    <w:rsid w:val="00EF7792"/>
    <w:rsid w:val="00F408FB"/>
    <w:rsid w:val="00F470CF"/>
    <w:rsid w:val="00F81BDF"/>
    <w:rsid w:val="00FA0CEF"/>
    <w:rsid w:val="00FA4C12"/>
    <w:rsid w:val="00FF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88722-37E9-4361-AF7B-046C02F6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12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CC2"/>
    <w:rPr>
      <w:color w:val="0000FF"/>
      <w:u w:val="single"/>
    </w:rPr>
  </w:style>
  <w:style w:type="paragraph" w:styleId="Header">
    <w:name w:val="header"/>
    <w:basedOn w:val="Normal"/>
    <w:link w:val="HeaderChar"/>
    <w:uiPriority w:val="99"/>
    <w:unhideWhenUsed/>
    <w:rsid w:val="00884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A43"/>
  </w:style>
  <w:style w:type="paragraph" w:styleId="Footer">
    <w:name w:val="footer"/>
    <w:basedOn w:val="Normal"/>
    <w:link w:val="FooterChar"/>
    <w:uiPriority w:val="99"/>
    <w:unhideWhenUsed/>
    <w:rsid w:val="00884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A43"/>
  </w:style>
  <w:style w:type="character" w:styleId="PlaceholderText">
    <w:name w:val="Placeholder Text"/>
    <w:basedOn w:val="DefaultParagraphFont"/>
    <w:uiPriority w:val="99"/>
    <w:semiHidden/>
    <w:rsid w:val="006C69C5"/>
    <w:rPr>
      <w:color w:val="808080"/>
    </w:rPr>
  </w:style>
  <w:style w:type="paragraph" w:styleId="ListParagraph">
    <w:name w:val="List Paragraph"/>
    <w:basedOn w:val="Normal"/>
    <w:uiPriority w:val="34"/>
    <w:qFormat/>
    <w:rsid w:val="00EF6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43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im.mn/research" TargetMode="External"/><Relationship Id="rId18" Type="http://schemas.openxmlformats.org/officeDocument/2006/relationships/image" Target="media/image3.png"/><Relationship Id="rId26" Type="http://schemas.openxmlformats.org/officeDocument/2006/relationships/hyperlink" Target="http://www.nim.mn" TargetMode="External"/><Relationship Id="rId39"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image" Target="media/image7.jpeg"/><Relationship Id="rId42" Type="http://schemas.openxmlformats.org/officeDocument/2006/relationships/image" Target="media/image12.jpg"/><Relationship Id="rId7" Type="http://schemas.openxmlformats.org/officeDocument/2006/relationships/endnotes" Target="endnotes.xml"/><Relationship Id="rId12" Type="http://schemas.openxmlformats.org/officeDocument/2006/relationships/hyperlink" Target="https://www.nim.mn/ourservices" TargetMode="External"/><Relationship Id="rId17" Type="http://schemas.openxmlformats.org/officeDocument/2006/relationships/chart" Target="charts/chart2.xml"/><Relationship Id="rId25" Type="http://schemas.openxmlformats.org/officeDocument/2006/relationships/chart" Target="charts/chart6.xml"/><Relationship Id="rId33" Type="http://schemas.openxmlformats.org/officeDocument/2006/relationships/image" Target="media/image6.jpg"/><Relationship Id="rId38" Type="http://schemas.openxmlformats.org/officeDocument/2006/relationships/hyperlink" Target="http://www.nim.mn"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4.xml"/><Relationship Id="rId29" Type="http://schemas.openxmlformats.org/officeDocument/2006/relationships/chart" Target="charts/chart9.xml"/><Relationship Id="rId41" Type="http://schemas.openxmlformats.org/officeDocument/2006/relationships/hyperlink" Target="http://www.nim.m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m.mn/aboutus" TargetMode="External"/><Relationship Id="rId24" Type="http://schemas.openxmlformats.org/officeDocument/2006/relationships/chart" Target="charts/chart5.xml"/><Relationship Id="rId32" Type="http://schemas.openxmlformats.org/officeDocument/2006/relationships/hyperlink" Target="http://www.nim.mn" TargetMode="External"/><Relationship Id="rId37" Type="http://schemas.openxmlformats.org/officeDocument/2006/relationships/image" Target="media/image9.png"/><Relationship Id="rId40" Type="http://schemas.openxmlformats.org/officeDocument/2006/relationships/image" Target="media/image11.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5.jpeg"/><Relationship Id="rId28" Type="http://schemas.openxmlformats.org/officeDocument/2006/relationships/chart" Target="charts/chart8.xml"/><Relationship Id="rId36" Type="http://schemas.openxmlformats.org/officeDocument/2006/relationships/image" Target="media/image8.jpg"/><Relationship Id="rId10" Type="http://schemas.openxmlformats.org/officeDocument/2006/relationships/hyperlink" Target="https://www.nim.mn/home" TargetMode="External"/><Relationship Id="rId19" Type="http://schemas.openxmlformats.org/officeDocument/2006/relationships/chart" Target="charts/chart3.xml"/><Relationship Id="rId31" Type="http://schemas.openxmlformats.org/officeDocument/2006/relationships/chart" Target="charts/chart1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www.nim.mn" TargetMode="External"/><Relationship Id="rId14" Type="http://schemas.openxmlformats.org/officeDocument/2006/relationships/hyperlink" Target="https://www.nim.mn/register" TargetMode="External"/><Relationship Id="rId22" Type="http://schemas.openxmlformats.org/officeDocument/2006/relationships/hyperlink" Target="http://www.nim.mn" TargetMode="External"/><Relationship Id="rId27" Type="http://schemas.openxmlformats.org/officeDocument/2006/relationships/chart" Target="charts/chart7.xml"/><Relationship Id="rId30" Type="http://schemas.openxmlformats.org/officeDocument/2006/relationships/hyperlink" Target="http://www.nim.mn" TargetMode="External"/><Relationship Id="rId35" Type="http://schemas.openxmlformats.org/officeDocument/2006/relationships/hyperlink" Target="http://www.nim.mn" TargetMode="External"/><Relationship Id="rId43" Type="http://schemas.openxmlformats.org/officeDocument/2006/relationships/hyperlink" Target="http://www.nim.mn"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latin typeface="+mj-lt"/>
              </a:rPr>
              <a:t>Mongolia GDP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GDP, UD bln</c:v>
                </c:pt>
              </c:strCache>
            </c:strRef>
          </c:tx>
          <c:spPr>
            <a:solidFill>
              <a:schemeClr val="bg2">
                <a:lumMod val="75000"/>
              </a:schemeClr>
            </a:solidFill>
            <a:ln>
              <a:noFill/>
            </a:ln>
            <a:effectLst/>
          </c:spPr>
          <c:invertIfNegative val="0"/>
          <c:dLbls>
            <c:delete val="1"/>
          </c:dLbls>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Sheet1!$B$2:$B$11</c:f>
              <c:numCache>
                <c:formatCode>General</c:formatCode>
                <c:ptCount val="10"/>
                <c:pt idx="0">
                  <c:v>7.19</c:v>
                </c:pt>
                <c:pt idx="1">
                  <c:v>10.41</c:v>
                </c:pt>
                <c:pt idx="2">
                  <c:v>12.29</c:v>
                </c:pt>
                <c:pt idx="3">
                  <c:v>12.58</c:v>
                </c:pt>
                <c:pt idx="4">
                  <c:v>12.23</c:v>
                </c:pt>
                <c:pt idx="5">
                  <c:v>11.75</c:v>
                </c:pt>
                <c:pt idx="6">
                  <c:v>11.19</c:v>
                </c:pt>
                <c:pt idx="7">
                  <c:v>11.43</c:v>
                </c:pt>
                <c:pt idx="8">
                  <c:v>13.01</c:v>
                </c:pt>
                <c:pt idx="9">
                  <c:v>13.5</c:v>
                </c:pt>
              </c:numCache>
            </c:numRef>
          </c:val>
        </c:ser>
        <c:ser>
          <c:idx val="1"/>
          <c:order val="1"/>
          <c:tx>
            <c:strRef>
              <c:f>Sheet1!$C$1</c:f>
              <c:strCache>
                <c:ptCount val="1"/>
                <c:pt idx="0">
                  <c:v>Column1</c:v>
                </c:pt>
              </c:strCache>
            </c:strRef>
          </c:tx>
          <c:spPr>
            <a:solidFill>
              <a:schemeClr val="accent2"/>
            </a:solidFill>
            <a:ln>
              <a:noFill/>
            </a:ln>
            <a:effectLst/>
          </c:spPr>
          <c:invertIfNegative val="0"/>
          <c:dLbls>
            <c:delete val="1"/>
          </c:dLbls>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Sheet1!$C$2:$C$11</c:f>
              <c:numCache>
                <c:formatCode>General</c:formatCode>
                <c:ptCount val="10"/>
              </c:numCache>
            </c:numRef>
          </c:val>
        </c:ser>
        <c:dLbls>
          <c:showLegendKey val="0"/>
          <c:showVal val="1"/>
          <c:showCatName val="0"/>
          <c:showSerName val="0"/>
          <c:showPercent val="0"/>
          <c:showBubbleSize val="0"/>
        </c:dLbls>
        <c:gapWidth val="75"/>
        <c:overlap val="40"/>
        <c:axId val="519624128"/>
        <c:axId val="519622952"/>
      </c:barChart>
      <c:lineChart>
        <c:grouping val="standard"/>
        <c:varyColors val="0"/>
        <c:ser>
          <c:idx val="2"/>
          <c:order val="2"/>
          <c:tx>
            <c:strRef>
              <c:f>Sheet1!$D$1</c:f>
              <c:strCache>
                <c:ptCount val="1"/>
                <c:pt idx="0">
                  <c:v>GDP growth, %</c:v>
                </c:pt>
              </c:strCache>
            </c:strRef>
          </c:tx>
          <c:spPr>
            <a:ln w="28575" cap="rnd">
              <a:solidFill>
                <a:schemeClr val="bg2">
                  <a:lumMod val="5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Sheet1!$D$2:$D$11</c:f>
              <c:numCache>
                <c:formatCode>0.0%</c:formatCode>
                <c:ptCount val="10"/>
                <c:pt idx="0">
                  <c:v>6.4000000000000001E-2</c:v>
                </c:pt>
                <c:pt idx="1">
                  <c:v>0.17299999999999999</c:v>
                </c:pt>
                <c:pt idx="2">
                  <c:v>0.123</c:v>
                </c:pt>
                <c:pt idx="3">
                  <c:v>0.11600000000000001</c:v>
                </c:pt>
                <c:pt idx="4">
                  <c:v>7.9000000000000001E-2</c:v>
                </c:pt>
                <c:pt idx="5">
                  <c:v>2.4E-2</c:v>
                </c:pt>
                <c:pt idx="6">
                  <c:v>1.2E-2</c:v>
                </c:pt>
                <c:pt idx="7">
                  <c:v>5.2999999999999999E-2</c:v>
                </c:pt>
                <c:pt idx="8">
                  <c:v>7.1999999999999995E-2</c:v>
                </c:pt>
                <c:pt idx="9">
                  <c:v>5.0999999999999997E-2</c:v>
                </c:pt>
              </c:numCache>
            </c:numRef>
          </c:val>
          <c:smooth val="0"/>
        </c:ser>
        <c:dLbls>
          <c:showLegendKey val="0"/>
          <c:showVal val="1"/>
          <c:showCatName val="0"/>
          <c:showSerName val="0"/>
          <c:showPercent val="0"/>
          <c:showBubbleSize val="0"/>
        </c:dLbls>
        <c:marker val="1"/>
        <c:smooth val="0"/>
        <c:axId val="519619032"/>
        <c:axId val="519630008"/>
      </c:lineChart>
      <c:catAx>
        <c:axId val="519624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622952"/>
        <c:crosses val="autoZero"/>
        <c:auto val="1"/>
        <c:lblAlgn val="ctr"/>
        <c:lblOffset val="100"/>
        <c:noMultiLvlLbl val="0"/>
      </c:catAx>
      <c:valAx>
        <c:axId val="519622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624128"/>
        <c:crosses val="autoZero"/>
        <c:crossBetween val="between"/>
      </c:valAx>
      <c:valAx>
        <c:axId val="519630008"/>
        <c:scaling>
          <c:orientation val="minMax"/>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619032"/>
        <c:crosses val="max"/>
        <c:crossBetween val="between"/>
      </c:valAx>
      <c:catAx>
        <c:axId val="519619032"/>
        <c:scaling>
          <c:orientation val="minMax"/>
        </c:scaling>
        <c:delete val="1"/>
        <c:axPos val="b"/>
        <c:numFmt formatCode="General" sourceLinked="1"/>
        <c:majorTickMark val="none"/>
        <c:minorTickMark val="none"/>
        <c:tickLblPos val="nextTo"/>
        <c:crossAx val="519630008"/>
        <c:crosses val="autoZero"/>
        <c:auto val="1"/>
        <c:lblAlgn val="ctr"/>
        <c:lblOffset val="100"/>
        <c:noMultiLvlLbl val="0"/>
      </c:catAx>
      <c:spPr>
        <a:noFill/>
        <a:ln>
          <a:noFill/>
        </a:ln>
        <a:effectLst/>
      </c:spPr>
    </c:plotArea>
    <c:legend>
      <c:legendPos val="b"/>
      <c:legendEntry>
        <c:idx val="1"/>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b="1">
                <a:latin typeface="+mj-lt"/>
              </a:rPr>
              <a:t>Total loans</a:t>
            </a:r>
            <a:r>
              <a:rPr lang="en-US" sz="1050" b="1" baseline="0">
                <a:latin typeface="+mj-lt"/>
              </a:rPr>
              <a:t> outstanding by sectors, 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MNT bln</c:v>
                </c:pt>
              </c:strCache>
            </c:strRef>
          </c:tx>
          <c:spPr>
            <a:solidFill>
              <a:schemeClr val="bg1">
                <a:lumMod val="65000"/>
              </a:schemeClr>
            </a:solidFill>
            <a:ln>
              <a:noFill/>
            </a:ln>
            <a:effectLst/>
          </c:spPr>
          <c:invertIfNegative val="0"/>
          <c:dLbls>
            <c:dLbl>
              <c:idx val="1"/>
              <c:layout>
                <c:manualLayout>
                  <c:x val="7.295276308590188E-3"/>
                  <c:y val="2.732520193896802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7.897954171856644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6.6872593644168483E-17"/>
                  <c:y val="2.144325243975012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6.6872593644168483E-17"/>
                  <c:y val="1.677459606675319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3.647638154295094E-3"/>
                  <c:y val="1.612945333224181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3.647638154295094E-3"/>
                  <c:y val="1.6774596066753245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8"/>
                <c:pt idx="0">
                  <c:v>Agriculture</c:v>
                </c:pt>
                <c:pt idx="1">
                  <c:v>Mining </c:v>
                </c:pt>
                <c:pt idx="2">
                  <c:v>Manufacturing</c:v>
                </c:pt>
                <c:pt idx="3">
                  <c:v>Construction </c:v>
                </c:pt>
                <c:pt idx="4">
                  <c:v>Wholesale and retail</c:v>
                </c:pt>
                <c:pt idx="5">
                  <c:v>Financial and insurance</c:v>
                </c:pt>
                <c:pt idx="6">
                  <c:v>Real estate</c:v>
                </c:pt>
                <c:pt idx="7">
                  <c:v>Others</c:v>
                </c:pt>
              </c:strCache>
            </c:strRef>
          </c:cat>
          <c:val>
            <c:numRef>
              <c:f>Sheet1!$B$2:$B$11</c:f>
              <c:numCache>
                <c:formatCode>#,##0.00</c:formatCode>
                <c:ptCount val="10"/>
                <c:pt idx="0" formatCode="General">
                  <c:v>384.1</c:v>
                </c:pt>
                <c:pt idx="1">
                  <c:v>1518.1</c:v>
                </c:pt>
                <c:pt idx="2">
                  <c:v>1429.6</c:v>
                </c:pt>
                <c:pt idx="3">
                  <c:v>1622.5</c:v>
                </c:pt>
                <c:pt idx="4">
                  <c:v>2893.2</c:v>
                </c:pt>
                <c:pt idx="5" formatCode="General">
                  <c:v>432.9</c:v>
                </c:pt>
                <c:pt idx="6">
                  <c:v>2066.5</c:v>
                </c:pt>
                <c:pt idx="7">
                  <c:v>6327.9</c:v>
                </c:pt>
              </c:numCache>
            </c:numRef>
          </c:val>
        </c:ser>
        <c:dLbls>
          <c:showLegendKey val="0"/>
          <c:showVal val="0"/>
          <c:showCatName val="0"/>
          <c:showSerName val="0"/>
          <c:showPercent val="0"/>
          <c:showBubbleSize val="0"/>
        </c:dLbls>
        <c:gapWidth val="75"/>
        <c:overlap val="40"/>
        <c:axId val="519636672"/>
        <c:axId val="519634712"/>
      </c:barChart>
      <c:catAx>
        <c:axId val="519636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634712"/>
        <c:crosses val="autoZero"/>
        <c:auto val="1"/>
        <c:lblAlgn val="ctr"/>
        <c:lblOffset val="100"/>
        <c:noMultiLvlLbl val="0"/>
      </c:catAx>
      <c:valAx>
        <c:axId val="519634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636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sz="1000" b="1"/>
              <a:t>FDI, US$ mln</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Sheet1!$B$1</c:f>
              <c:strCache>
                <c:ptCount val="1"/>
                <c:pt idx="0">
                  <c:v>FDI US$mn</c:v>
                </c:pt>
              </c:strCache>
            </c:strRef>
          </c:tx>
          <c:spPr>
            <a:solidFill>
              <a:schemeClr val="bg1">
                <a:lumMod val="50000"/>
              </a:schemeClr>
            </a:solidFill>
            <a:ln>
              <a:noFill/>
            </a:ln>
            <a:effectLst/>
          </c:spPr>
          <c:invertIfNegative val="0"/>
          <c:dLbls>
            <c:dLbl>
              <c:idx val="1"/>
              <c:layout>
                <c:manualLayout>
                  <c:x val="4.3677658877484165E-3"/>
                  <c:y val="0.1893057566699189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4.0037391455664531E-17"/>
                  <c:y val="0.1814130968435574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4.3677658877484165E-3"/>
                  <c:y val="0.11037915840630419"/>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4.3677658877484165E-3"/>
                  <c:y val="6.302319944813528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4.3677658877483367E-3"/>
                  <c:y val="0.11037915840630419"/>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4.3677658877484165E-3"/>
                  <c:y val="7.880851910085821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0"/>
                  <c:y val="4.7237879795412274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Sheet1!$B$2:$B$11</c:f>
              <c:numCache>
                <c:formatCode>#,##0.0</c:formatCode>
                <c:ptCount val="10"/>
                <c:pt idx="0">
                  <c:v>8444.7000000000007</c:v>
                </c:pt>
                <c:pt idx="1">
                  <c:v>13332.7</c:v>
                </c:pt>
                <c:pt idx="2">
                  <c:v>17668.400000000001</c:v>
                </c:pt>
                <c:pt idx="3">
                  <c:v>19579.3</c:v>
                </c:pt>
                <c:pt idx="4" formatCode="#,##0">
                  <c:v>20247</c:v>
                </c:pt>
                <c:pt idx="5">
                  <c:v>20696.3</c:v>
                </c:pt>
                <c:pt idx="6">
                  <c:v>16277.5</c:v>
                </c:pt>
                <c:pt idx="7">
                  <c:v>18019.900000000001</c:v>
                </c:pt>
                <c:pt idx="8" formatCode="#,##0">
                  <c:v>20223</c:v>
                </c:pt>
                <c:pt idx="9">
                  <c:v>22311.9</c:v>
                </c:pt>
              </c:numCache>
            </c:numRef>
          </c:val>
        </c:ser>
        <c:dLbls>
          <c:showLegendKey val="0"/>
          <c:showVal val="0"/>
          <c:showCatName val="0"/>
          <c:showSerName val="0"/>
          <c:showPercent val="0"/>
          <c:showBubbleSize val="0"/>
        </c:dLbls>
        <c:gapWidth val="199"/>
        <c:axId val="519619816"/>
        <c:axId val="519621384"/>
      </c:barChart>
      <c:catAx>
        <c:axId val="519619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519621384"/>
        <c:crosses val="autoZero"/>
        <c:auto val="1"/>
        <c:lblAlgn val="ctr"/>
        <c:lblOffset val="100"/>
        <c:noMultiLvlLbl val="0"/>
      </c:catAx>
      <c:valAx>
        <c:axId val="51962138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619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latin typeface="+mj-lt"/>
              </a:rPr>
              <a:t>Unemployment rate, %</a:t>
            </a:r>
          </a:p>
          <a:p>
            <a:pPr>
              <a:defRPr/>
            </a:pPr>
            <a:r>
              <a:rPr lang="en-US" sz="1000" b="1">
                <a:latin typeface="+mj-lt"/>
              </a:rPr>
              <a:t>/2010-2019/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Sheet1!$B$1</c:f>
              <c:strCache>
                <c:ptCount val="1"/>
                <c:pt idx="0">
                  <c:v>Unemployment rate</c:v>
                </c:pt>
              </c:strCache>
            </c:strRef>
          </c:tx>
          <c:spPr>
            <a:ln w="28575" cap="rnd">
              <a:solidFill>
                <a:schemeClr val="bg1">
                  <a:lumMod val="5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Sheet1!$B$2:$B$11</c:f>
              <c:numCache>
                <c:formatCode>0.00%</c:formatCode>
                <c:ptCount val="10"/>
                <c:pt idx="0">
                  <c:v>8.5999999999999993E-2</c:v>
                </c:pt>
                <c:pt idx="1">
                  <c:v>0.08</c:v>
                </c:pt>
                <c:pt idx="2">
                  <c:v>6.3E-2</c:v>
                </c:pt>
                <c:pt idx="3">
                  <c:v>7.5999999999999998E-2</c:v>
                </c:pt>
                <c:pt idx="4">
                  <c:v>6.4000000000000001E-2</c:v>
                </c:pt>
                <c:pt idx="5">
                  <c:v>6.3E-2</c:v>
                </c:pt>
                <c:pt idx="6">
                  <c:v>9.4E-2</c:v>
                </c:pt>
                <c:pt idx="7">
                  <c:v>9.0999999999999998E-2</c:v>
                </c:pt>
                <c:pt idx="8">
                  <c:v>6.9000000000000006E-2</c:v>
                </c:pt>
                <c:pt idx="9">
                  <c:v>9.9000000000000005E-2</c:v>
                </c:pt>
              </c:numCache>
            </c:numRef>
          </c:val>
          <c:smooth val="0"/>
        </c:ser>
        <c:dLbls>
          <c:showLegendKey val="0"/>
          <c:showVal val="1"/>
          <c:showCatName val="0"/>
          <c:showSerName val="0"/>
          <c:showPercent val="0"/>
          <c:showBubbleSize val="0"/>
        </c:dLbls>
        <c:smooth val="0"/>
        <c:axId val="519624912"/>
        <c:axId val="519627264"/>
      </c:lineChart>
      <c:catAx>
        <c:axId val="519624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627264"/>
        <c:crosses val="autoZero"/>
        <c:auto val="1"/>
        <c:lblAlgn val="ctr"/>
        <c:lblOffset val="100"/>
        <c:noMultiLvlLbl val="0"/>
      </c:catAx>
      <c:valAx>
        <c:axId val="5196272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624912"/>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latin typeface="+mj-lt"/>
              </a:rPr>
              <a:t>Inflation rate, %</a:t>
            </a:r>
          </a:p>
          <a:p>
            <a:pPr>
              <a:defRPr/>
            </a:pPr>
            <a:r>
              <a:rPr lang="en-US" sz="1000" b="1">
                <a:latin typeface="+mj-lt"/>
              </a:rPr>
              <a:t>/2010-2019/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Inflation rate</c:v>
                </c:pt>
              </c:strCache>
            </c:strRef>
          </c:tx>
          <c:spPr>
            <a:ln w="22225" cap="rnd">
              <a:solidFill>
                <a:schemeClr val="bg1">
                  <a:lumMod val="50000"/>
                </a:schemeClr>
              </a:solidFill>
              <a:round/>
            </a:ln>
            <a:effectLst/>
          </c:spPr>
          <c:marker>
            <c:symbol val="circle"/>
            <c:size val="5"/>
            <c:spPr>
              <a:solidFill>
                <a:schemeClr val="bg1">
                  <a:lumMod val="50000"/>
                </a:schemeClr>
              </a:solidFill>
              <a:ln w="9525">
                <a:solidFill>
                  <a:schemeClr val="bg1">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Sheet1!$B$2:$B$11</c:f>
              <c:numCache>
                <c:formatCode>0.0%</c:formatCode>
                <c:ptCount val="10"/>
                <c:pt idx="0" formatCode="0%">
                  <c:v>0.13</c:v>
                </c:pt>
                <c:pt idx="1">
                  <c:v>8.8999999999999996E-2</c:v>
                </c:pt>
                <c:pt idx="2" formatCode="0%">
                  <c:v>0.14000000000000001</c:v>
                </c:pt>
                <c:pt idx="3">
                  <c:v>0.125</c:v>
                </c:pt>
                <c:pt idx="4">
                  <c:v>0.104</c:v>
                </c:pt>
                <c:pt idx="5">
                  <c:v>1.9E-2</c:v>
                </c:pt>
                <c:pt idx="6">
                  <c:v>1.2999999999999999E-2</c:v>
                </c:pt>
                <c:pt idx="7">
                  <c:v>6.4000000000000001E-2</c:v>
                </c:pt>
                <c:pt idx="8">
                  <c:v>8.1000000000000003E-2</c:v>
                </c:pt>
                <c:pt idx="9">
                  <c:v>5.1999999999999998E-2</c:v>
                </c:pt>
              </c:numCache>
            </c:numRef>
          </c:val>
          <c:smooth val="0"/>
        </c:ser>
        <c:dLbls>
          <c:showLegendKey val="0"/>
          <c:showVal val="1"/>
          <c:showCatName val="0"/>
          <c:showSerName val="0"/>
          <c:showPercent val="0"/>
          <c:showBubbleSize val="0"/>
        </c:dLbls>
        <c:marker val="1"/>
        <c:smooth val="0"/>
        <c:axId val="519625304"/>
        <c:axId val="519627656"/>
      </c:lineChart>
      <c:catAx>
        <c:axId val="519625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627656"/>
        <c:crosses val="autoZero"/>
        <c:auto val="1"/>
        <c:lblAlgn val="ctr"/>
        <c:lblOffset val="100"/>
        <c:noMultiLvlLbl val="0"/>
      </c:catAx>
      <c:valAx>
        <c:axId val="5196276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625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b="1">
                <a:latin typeface="+mj-lt"/>
              </a:rPr>
              <a:t>US$/MNT Exchange rate, 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bg1">
                  <a:lumMod val="50000"/>
                </a:schemeClr>
              </a:solidFill>
              <a:round/>
            </a:ln>
            <a:effectLst/>
          </c:spPr>
          <c:marker>
            <c:symbol val="none"/>
          </c:marker>
          <c:cat>
            <c:numRef>
              <c:f>Sheet1!$A$2:$A$13</c:f>
              <c:numCache>
                <c:formatCode>m/d/yyyy</c:formatCode>
                <c:ptCount val="1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numCache>
            </c:numRef>
          </c:cat>
          <c:val>
            <c:numRef>
              <c:f>Sheet1!$B$2:$B$13</c:f>
              <c:numCache>
                <c:formatCode>#,##0.00</c:formatCode>
                <c:ptCount val="12"/>
                <c:pt idx="0">
                  <c:v>2643.69</c:v>
                </c:pt>
                <c:pt idx="1">
                  <c:v>2629.76</c:v>
                </c:pt>
                <c:pt idx="2">
                  <c:v>2635.34</c:v>
                </c:pt>
                <c:pt idx="3">
                  <c:v>2631.43</c:v>
                </c:pt>
                <c:pt idx="4">
                  <c:v>2643.07</c:v>
                </c:pt>
                <c:pt idx="5">
                  <c:v>2649.35</c:v>
                </c:pt>
                <c:pt idx="6">
                  <c:v>2657.92</c:v>
                </c:pt>
                <c:pt idx="7">
                  <c:v>2666.5</c:v>
                </c:pt>
                <c:pt idx="8" formatCode="#,##0">
                  <c:v>2672</c:v>
                </c:pt>
                <c:pt idx="9">
                  <c:v>2667.08</c:v>
                </c:pt>
                <c:pt idx="10">
                  <c:v>2701.11</c:v>
                </c:pt>
                <c:pt idx="11">
                  <c:v>2715.22</c:v>
                </c:pt>
              </c:numCache>
            </c:numRef>
          </c:val>
          <c:smooth val="0"/>
        </c:ser>
        <c:dLbls>
          <c:showLegendKey val="0"/>
          <c:showVal val="0"/>
          <c:showCatName val="0"/>
          <c:showSerName val="0"/>
          <c:showPercent val="0"/>
          <c:showBubbleSize val="0"/>
        </c:dLbls>
        <c:smooth val="0"/>
        <c:axId val="519622168"/>
        <c:axId val="519623736"/>
      </c:lineChart>
      <c:dateAx>
        <c:axId val="519622168"/>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623736"/>
        <c:crosses val="autoZero"/>
        <c:auto val="1"/>
        <c:lblOffset val="100"/>
        <c:baseTimeUnit val="months"/>
      </c:dateAx>
      <c:valAx>
        <c:axId val="5196237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622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b="1">
                <a:latin typeface="+mj-lt"/>
              </a:rPr>
              <a:t>Foreign trade performance (US$ bln)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Export</c:v>
                </c:pt>
              </c:strCache>
            </c:strRef>
          </c:tx>
          <c:spPr>
            <a:solidFill>
              <a:srgbClr val="6600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Sheet1!$B$2:$B$11</c:f>
              <c:numCache>
                <c:formatCode>General</c:formatCode>
                <c:ptCount val="10"/>
                <c:pt idx="0">
                  <c:v>2.9</c:v>
                </c:pt>
                <c:pt idx="1">
                  <c:v>4.8</c:v>
                </c:pt>
                <c:pt idx="2">
                  <c:v>4.4000000000000004</c:v>
                </c:pt>
                <c:pt idx="3">
                  <c:v>4.3</c:v>
                </c:pt>
                <c:pt idx="4">
                  <c:v>5.8</c:v>
                </c:pt>
                <c:pt idx="5">
                  <c:v>4.7</c:v>
                </c:pt>
                <c:pt idx="6">
                  <c:v>4.9000000000000004</c:v>
                </c:pt>
                <c:pt idx="7">
                  <c:v>6.2</c:v>
                </c:pt>
                <c:pt idx="8">
                  <c:v>7</c:v>
                </c:pt>
                <c:pt idx="9">
                  <c:v>7.6</c:v>
                </c:pt>
              </c:numCache>
            </c:numRef>
          </c:val>
        </c:ser>
        <c:ser>
          <c:idx val="1"/>
          <c:order val="1"/>
          <c:tx>
            <c:strRef>
              <c:f>Sheet1!$C$1</c:f>
              <c:strCache>
                <c:ptCount val="1"/>
                <c:pt idx="0">
                  <c:v>Import</c:v>
                </c:pt>
              </c:strCache>
            </c:strRef>
          </c:tx>
          <c:spPr>
            <a:solidFill>
              <a:srgbClr val="FF996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Sheet1!$C$2:$C$11</c:f>
              <c:numCache>
                <c:formatCode>General</c:formatCode>
                <c:ptCount val="10"/>
                <c:pt idx="0">
                  <c:v>3.2</c:v>
                </c:pt>
                <c:pt idx="1">
                  <c:v>6.6</c:v>
                </c:pt>
                <c:pt idx="2">
                  <c:v>6.7</c:v>
                </c:pt>
                <c:pt idx="3">
                  <c:v>6.4</c:v>
                </c:pt>
                <c:pt idx="4">
                  <c:v>5.2</c:v>
                </c:pt>
                <c:pt idx="5">
                  <c:v>3.8</c:v>
                </c:pt>
                <c:pt idx="6">
                  <c:v>3.4</c:v>
                </c:pt>
                <c:pt idx="7">
                  <c:v>4.3</c:v>
                </c:pt>
                <c:pt idx="8">
                  <c:v>5.9</c:v>
                </c:pt>
                <c:pt idx="9">
                  <c:v>6.1</c:v>
                </c:pt>
              </c:numCache>
            </c:numRef>
          </c:val>
        </c:ser>
        <c:dLbls>
          <c:showLegendKey val="0"/>
          <c:showVal val="1"/>
          <c:showCatName val="0"/>
          <c:showSerName val="0"/>
          <c:showPercent val="0"/>
          <c:showBubbleSize val="0"/>
        </c:dLbls>
        <c:gapWidth val="95"/>
        <c:overlap val="100"/>
        <c:axId val="519628440"/>
        <c:axId val="519625696"/>
      </c:barChart>
      <c:lineChart>
        <c:grouping val="standard"/>
        <c:varyColors val="0"/>
        <c:ser>
          <c:idx val="2"/>
          <c:order val="2"/>
          <c:tx>
            <c:strRef>
              <c:f>Sheet1!$D$1</c:f>
              <c:strCache>
                <c:ptCount val="1"/>
                <c:pt idx="0">
                  <c:v>Balance</c:v>
                </c:pt>
              </c:strCache>
            </c:strRef>
          </c:tx>
          <c:spPr>
            <a:ln w="19050" cap="rnd">
              <a:solidFill>
                <a:schemeClr val="tx1">
                  <a:lumMod val="50000"/>
                  <a:lumOff val="50000"/>
                </a:schemeClr>
              </a:solidFill>
              <a:round/>
            </a:ln>
            <a:effectLst/>
          </c:spPr>
          <c:marker>
            <c:symbol val="none"/>
          </c:marker>
          <c:dLbls>
            <c:dLbl>
              <c:idx val="4"/>
              <c:layout>
                <c:manualLayout>
                  <c:x val="8.1103000811030002E-3"/>
                  <c:y val="2.79655092053133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2165450121654502E-2"/>
                  <c:y val="1.8643672803542299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8.1103000811030002E-3"/>
                  <c:y val="4.1948263807970169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8.1103000811030002E-3"/>
                  <c:y val="5.5931018410626809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8.1103000811030002E-3"/>
                  <c:y val="3.2626427406198935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2165450121654502E-2"/>
                  <c:y val="5.127010020974140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w="6350">
                      <a:solidFill>
                        <a:schemeClr val="tx1">
                          <a:lumMod val="85000"/>
                          <a:lumOff val="15000"/>
                        </a:schemeClr>
                      </a:solidFill>
                    </a:ln>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Sheet1!$D$2:$D$11</c:f>
              <c:numCache>
                <c:formatCode>General</c:formatCode>
                <c:ptCount val="10"/>
                <c:pt idx="0">
                  <c:v>-0.3</c:v>
                </c:pt>
                <c:pt idx="1">
                  <c:v>-1.8</c:v>
                </c:pt>
                <c:pt idx="2">
                  <c:v>-2.4</c:v>
                </c:pt>
                <c:pt idx="3">
                  <c:v>-2.1</c:v>
                </c:pt>
                <c:pt idx="4">
                  <c:v>0.5</c:v>
                </c:pt>
                <c:pt idx="5">
                  <c:v>0.9</c:v>
                </c:pt>
                <c:pt idx="6">
                  <c:v>1.6</c:v>
                </c:pt>
                <c:pt idx="7">
                  <c:v>1.9</c:v>
                </c:pt>
                <c:pt idx="8">
                  <c:v>1.1000000000000001</c:v>
                </c:pt>
                <c:pt idx="9">
                  <c:v>1.5</c:v>
                </c:pt>
              </c:numCache>
            </c:numRef>
          </c:val>
          <c:smooth val="0"/>
        </c:ser>
        <c:dLbls>
          <c:showLegendKey val="0"/>
          <c:showVal val="1"/>
          <c:showCatName val="0"/>
          <c:showSerName val="0"/>
          <c:showPercent val="0"/>
          <c:showBubbleSize val="0"/>
        </c:dLbls>
        <c:marker val="1"/>
        <c:smooth val="0"/>
        <c:axId val="519628440"/>
        <c:axId val="519625696"/>
      </c:lineChart>
      <c:valAx>
        <c:axId val="51962569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628440"/>
        <c:crosses val="max"/>
        <c:crossBetween val="between"/>
      </c:valAx>
      <c:catAx>
        <c:axId val="519628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62569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b="1">
                <a:latin typeface="+mj-lt"/>
              </a:rPr>
              <a:t>Export, by countries (2019)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596709662772009"/>
          <c:y val="0.23167638396345494"/>
          <c:w val="0.52920091595386554"/>
          <c:h val="0.66112242291278478"/>
        </c:manualLayout>
      </c:layout>
      <c:pieChart>
        <c:varyColors val="1"/>
        <c:ser>
          <c:idx val="0"/>
          <c:order val="0"/>
          <c:tx>
            <c:strRef>
              <c:f>Sheet1!$B$1</c:f>
              <c:strCache>
                <c:ptCount val="1"/>
                <c:pt idx="0">
                  <c:v>Sales</c:v>
                </c:pt>
              </c:strCache>
            </c:strRef>
          </c:tx>
          <c:dPt>
            <c:idx val="0"/>
            <c:bubble3D val="0"/>
            <c:spPr>
              <a:solidFill>
                <a:schemeClr val="accent1">
                  <a:tint val="54000"/>
                </a:schemeClr>
              </a:solidFill>
              <a:ln w="19050">
                <a:solidFill>
                  <a:schemeClr val="lt1"/>
                </a:solidFill>
              </a:ln>
              <a:effectLst/>
            </c:spPr>
          </c:dPt>
          <c:dPt>
            <c:idx val="1"/>
            <c:bubble3D val="0"/>
            <c:spPr>
              <a:solidFill>
                <a:schemeClr val="accent1">
                  <a:tint val="77000"/>
                </a:schemeClr>
              </a:solidFill>
              <a:ln w="19050">
                <a:solidFill>
                  <a:schemeClr val="lt1"/>
                </a:solidFill>
              </a:ln>
              <a:effectLst/>
            </c:spPr>
          </c:dPt>
          <c:dPt>
            <c:idx val="2"/>
            <c:bubble3D val="0"/>
            <c:spPr>
              <a:solidFill>
                <a:schemeClr val="accent1"/>
              </a:solidFill>
              <a:ln w="19050">
                <a:solidFill>
                  <a:schemeClr val="lt1"/>
                </a:solidFill>
              </a:ln>
              <a:effectLst/>
            </c:spPr>
          </c:dPt>
          <c:dPt>
            <c:idx val="3"/>
            <c:bubble3D val="0"/>
            <c:spPr>
              <a:solidFill>
                <a:schemeClr val="accent1">
                  <a:shade val="76000"/>
                </a:schemeClr>
              </a:solidFill>
              <a:ln w="19050">
                <a:solidFill>
                  <a:schemeClr val="lt1"/>
                </a:solidFill>
              </a:ln>
              <a:effectLst/>
            </c:spPr>
          </c:dPt>
          <c:dPt>
            <c:idx val="4"/>
            <c:bubble3D val="0"/>
            <c:spPr>
              <a:solidFill>
                <a:schemeClr val="accent1">
                  <a:shade val="53000"/>
                </a:schemeClr>
              </a:solidFill>
              <a:ln w="19050">
                <a:solidFill>
                  <a:schemeClr val="lt1"/>
                </a:solidFill>
              </a:ln>
              <a:effectLst/>
            </c:spPr>
          </c:dPt>
          <c:dLbls>
            <c:dLbl>
              <c:idx val="0"/>
              <c:layout>
                <c:manualLayout>
                  <c:x val="5.098955193136661E-2"/>
                  <c:y val="-2.5921139628538799E-4"/>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1.3769679401111715E-2"/>
                  <c:y val="-9.9319288333233162E-3"/>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Germany</c:v>
                </c:pt>
                <c:pt idx="1">
                  <c:v>China</c:v>
                </c:pt>
                <c:pt idx="2">
                  <c:v>Switzerland</c:v>
                </c:pt>
                <c:pt idx="3">
                  <c:v>UK</c:v>
                </c:pt>
                <c:pt idx="4">
                  <c:v>Russia</c:v>
                </c:pt>
              </c:strCache>
            </c:strRef>
          </c:cat>
          <c:val>
            <c:numRef>
              <c:f>Sheet1!$B$2:$B$6</c:f>
              <c:numCache>
                <c:formatCode>0.0%</c:formatCode>
                <c:ptCount val="5"/>
                <c:pt idx="0">
                  <c:v>2E-3</c:v>
                </c:pt>
                <c:pt idx="1">
                  <c:v>0.93799999999999994</c:v>
                </c:pt>
                <c:pt idx="2">
                  <c:v>0.01</c:v>
                </c:pt>
                <c:pt idx="3">
                  <c:v>0.04</c:v>
                </c:pt>
                <c:pt idx="4">
                  <c:v>8.9999999999999993E-3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latin typeface="+mj-lt"/>
              </a:rPr>
              <a:t>Import, by countries (2019)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2">
                  <a:tint val="54000"/>
                </a:schemeClr>
              </a:solidFill>
              <a:ln w="19050">
                <a:solidFill>
                  <a:schemeClr val="lt1"/>
                </a:solidFill>
              </a:ln>
              <a:effectLst/>
            </c:spPr>
          </c:dPt>
          <c:dPt>
            <c:idx val="1"/>
            <c:bubble3D val="0"/>
            <c:spPr>
              <a:solidFill>
                <a:schemeClr val="accent2">
                  <a:tint val="77000"/>
                </a:schemeClr>
              </a:solidFill>
              <a:ln w="19050">
                <a:solidFill>
                  <a:schemeClr val="lt1"/>
                </a:solidFill>
              </a:ln>
              <a:effectLst/>
            </c:spPr>
          </c:dPt>
          <c:dPt>
            <c:idx val="2"/>
            <c:bubble3D val="0"/>
            <c:spPr>
              <a:solidFill>
                <a:schemeClr val="accent2"/>
              </a:solidFill>
              <a:ln w="19050">
                <a:solidFill>
                  <a:schemeClr val="lt1"/>
                </a:solidFill>
              </a:ln>
              <a:effectLst/>
            </c:spPr>
          </c:dPt>
          <c:dPt>
            <c:idx val="3"/>
            <c:bubble3D val="0"/>
            <c:spPr>
              <a:solidFill>
                <a:schemeClr val="accent2">
                  <a:shade val="76000"/>
                </a:schemeClr>
              </a:solidFill>
              <a:ln w="19050">
                <a:solidFill>
                  <a:schemeClr val="lt1"/>
                </a:solidFill>
              </a:ln>
              <a:effectLst/>
            </c:spPr>
          </c:dPt>
          <c:dPt>
            <c:idx val="4"/>
            <c:bubble3D val="0"/>
            <c:spPr>
              <a:solidFill>
                <a:schemeClr val="accent2">
                  <a:shade val="53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China</c:v>
                </c:pt>
                <c:pt idx="1">
                  <c:v>Russia</c:v>
                </c:pt>
                <c:pt idx="2">
                  <c:v>Japan</c:v>
                </c:pt>
                <c:pt idx="3">
                  <c:v>USA</c:v>
                </c:pt>
                <c:pt idx="4">
                  <c:v>Korea</c:v>
                </c:pt>
              </c:strCache>
            </c:strRef>
          </c:cat>
          <c:val>
            <c:numRef>
              <c:f>Sheet1!$B$2:$B$6</c:f>
              <c:numCache>
                <c:formatCode>0.0%</c:formatCode>
                <c:ptCount val="5"/>
                <c:pt idx="0">
                  <c:v>0.41799999999999998</c:v>
                </c:pt>
                <c:pt idx="1">
                  <c:v>0.35099999999999998</c:v>
                </c:pt>
                <c:pt idx="2">
                  <c:v>0.11899999999999999</c:v>
                </c:pt>
                <c:pt idx="3">
                  <c:v>5.8999999999999997E-2</c:v>
                </c:pt>
                <c:pt idx="4">
                  <c:v>5.3999999999999999E-2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b="1">
                <a:latin typeface="+mj-lt"/>
              </a:rPr>
              <a:t>Total loans outstanding</a:t>
            </a:r>
          </a:p>
          <a:p>
            <a:pPr>
              <a:defRPr/>
            </a:pPr>
            <a:r>
              <a:rPr lang="en-US" sz="1050" b="1">
                <a:latin typeface="+mj-lt"/>
              </a:rPr>
              <a:t>/2010-2019/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MNT, bln</c:v>
                </c:pt>
              </c:strCache>
            </c:strRef>
          </c:tx>
          <c:spPr>
            <a:solidFill>
              <a:schemeClr val="bg1">
                <a:lumMod val="65000"/>
              </a:schemeClr>
            </a:solidFill>
            <a:ln>
              <a:noFill/>
            </a:ln>
            <a:effectLst/>
          </c:spPr>
          <c:invertIfNegative val="0"/>
          <c:dLbls>
            <c:dLbl>
              <c:idx val="0"/>
              <c:layout>
                <c:manualLayout>
                  <c:x val="1.0653409090909059E-2"/>
                  <c:y val="7.782204101957611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0653409090909123E-2"/>
                  <c:y val="5.638079825002101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130681818181818E-2"/>
                  <c:y val="3.944121609304766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7755681818181882E-2"/>
                  <c:y val="4.508774347870547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3.5511363636362985E-3"/>
                  <c:y val="3.379468870738978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1.3020682917293175E-16"/>
                  <c:y val="7.332038040699452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1.065340909090909E-2"/>
                  <c:y val="2.814816132173201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1.065340909090909E-2"/>
                  <c:y val="5.073427086436324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0"/>
                  <c:y val="5.5620517791007094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Sheet1!$B$2:$B$11</c:f>
              <c:numCache>
                <c:formatCode>#,##0.00</c:formatCode>
                <c:ptCount val="10"/>
                <c:pt idx="0">
                  <c:v>3228.2</c:v>
                </c:pt>
                <c:pt idx="1">
                  <c:v>5597.7</c:v>
                </c:pt>
                <c:pt idx="2">
                  <c:v>6941.1</c:v>
                </c:pt>
                <c:pt idx="3">
                  <c:v>10715.6</c:v>
                </c:pt>
                <c:pt idx="4">
                  <c:v>12440.9</c:v>
                </c:pt>
                <c:pt idx="5">
                  <c:v>11633.6</c:v>
                </c:pt>
                <c:pt idx="6">
                  <c:v>12337.5</c:v>
                </c:pt>
                <c:pt idx="7">
                  <c:v>13506.5</c:v>
                </c:pt>
                <c:pt idx="8">
                  <c:v>17082.400000000001</c:v>
                </c:pt>
                <c:pt idx="9">
                  <c:v>17932.2</c:v>
                </c:pt>
              </c:numCache>
            </c:numRef>
          </c:val>
        </c:ser>
        <c:dLbls>
          <c:showLegendKey val="0"/>
          <c:showVal val="0"/>
          <c:showCatName val="0"/>
          <c:showSerName val="0"/>
          <c:showPercent val="0"/>
          <c:showBubbleSize val="0"/>
        </c:dLbls>
        <c:gapWidth val="75"/>
        <c:overlap val="40"/>
        <c:axId val="519628832"/>
        <c:axId val="519629224"/>
      </c:barChart>
      <c:catAx>
        <c:axId val="519628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629224"/>
        <c:crosses val="autoZero"/>
        <c:auto val="1"/>
        <c:lblAlgn val="ctr"/>
        <c:lblOffset val="100"/>
        <c:noMultiLvlLbl val="0"/>
      </c:catAx>
      <c:valAx>
        <c:axId val="5196292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628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Reversed" id="21">
  <a:schemeClr val="accent1"/>
</cs:colorStyle>
</file>

<file path=word/charts/colors8.xml><?xml version="1.0" encoding="utf-8"?>
<cs:colorStyle xmlns:cs="http://schemas.microsoft.com/office/drawing/2012/chartStyle" xmlns:a="http://schemas.openxmlformats.org/drawingml/2006/main" meth="withinLinearReversed" id="22">
  <a:schemeClr val="accent2"/>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F2C84-4B62-4F3D-A05F-3C84DA8AA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1953</TotalTime>
  <Pages>9</Pages>
  <Words>3179</Words>
  <Characters>18126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Nomin Dorjmyagmar</dc:creator>
  <cp:keywords/>
  <dc:description/>
  <cp:lastModifiedBy>Nomin Dorjmyagmar</cp:lastModifiedBy>
  <cp:revision>32</cp:revision>
  <dcterms:created xsi:type="dcterms:W3CDTF">2020-03-31T02:01:00Z</dcterms:created>
  <dcterms:modified xsi:type="dcterms:W3CDTF">2020-04-09T13:06:00Z</dcterms:modified>
</cp:coreProperties>
</file>